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B97E" w14:textId="77777777" w:rsidR="008B1658" w:rsidRDefault="008B1658" w:rsidP="00C513C4">
      <w:pPr>
        <w:spacing w:after="61" w:line="259" w:lineRule="auto"/>
        <w:rPr>
          <w:b/>
          <w:sz w:val="40"/>
        </w:rPr>
      </w:pPr>
    </w:p>
    <w:p w14:paraId="6BB2D3A1" w14:textId="77777777" w:rsidR="00DC46F0" w:rsidRDefault="00DC46F0" w:rsidP="00C513C4">
      <w:pPr>
        <w:spacing w:after="61" w:line="259" w:lineRule="auto"/>
        <w:rPr>
          <w:b/>
          <w:sz w:val="40"/>
        </w:rPr>
      </w:pPr>
    </w:p>
    <w:p w14:paraId="77A79BB0" w14:textId="77777777" w:rsidR="00DC46F0" w:rsidRDefault="00DC46F0" w:rsidP="00C513C4">
      <w:pPr>
        <w:spacing w:after="61" w:line="259" w:lineRule="auto"/>
        <w:rPr>
          <w:b/>
          <w:sz w:val="40"/>
        </w:rPr>
      </w:pPr>
    </w:p>
    <w:p w14:paraId="103B85AA" w14:textId="77777777" w:rsidR="008B1658" w:rsidRDefault="008B1658" w:rsidP="00C513C4">
      <w:pPr>
        <w:spacing w:after="61" w:line="259" w:lineRule="auto"/>
        <w:rPr>
          <w:b/>
          <w:sz w:val="40"/>
        </w:rPr>
      </w:pPr>
    </w:p>
    <w:p w14:paraId="0CD97D9F" w14:textId="77777777" w:rsidR="008B1658" w:rsidRDefault="008B1658" w:rsidP="00C513C4">
      <w:pPr>
        <w:spacing w:after="61" w:line="259" w:lineRule="auto"/>
        <w:rPr>
          <w:b/>
          <w:sz w:val="40"/>
        </w:rPr>
      </w:pPr>
    </w:p>
    <w:p w14:paraId="0DC20049" w14:textId="77777777" w:rsidR="00C513C4" w:rsidRDefault="00C513C4" w:rsidP="00C513C4">
      <w:pPr>
        <w:spacing w:after="61" w:line="259" w:lineRule="auto"/>
      </w:pPr>
      <w:r>
        <w:rPr>
          <w:b/>
          <w:sz w:val="40"/>
        </w:rPr>
        <w:t>Carbon management plan (2023-30)</w:t>
      </w:r>
    </w:p>
    <w:p w14:paraId="6691ADCF" w14:textId="77777777" w:rsidR="00C513C4" w:rsidRDefault="00C513C4" w:rsidP="00C513C4">
      <w:pPr>
        <w:spacing w:after="218" w:line="259" w:lineRule="auto"/>
        <w:ind w:left="70"/>
        <w:jc w:val="center"/>
      </w:pPr>
      <w:r>
        <w:rPr>
          <w:b/>
        </w:rPr>
        <w:t xml:space="preserve"> </w:t>
      </w:r>
    </w:p>
    <w:p w14:paraId="7DC5CE5D" w14:textId="77777777" w:rsidR="00C513C4" w:rsidRDefault="00C513C4" w:rsidP="00C513C4">
      <w:pPr>
        <w:spacing w:after="215" w:line="259" w:lineRule="auto"/>
        <w:ind w:left="70"/>
        <w:jc w:val="center"/>
      </w:pPr>
      <w:r>
        <w:rPr>
          <w:b/>
        </w:rPr>
        <w:t xml:space="preserve"> </w:t>
      </w:r>
    </w:p>
    <w:p w14:paraId="288AC2C4" w14:textId="77777777" w:rsidR="00C513C4" w:rsidRDefault="00C513C4" w:rsidP="00C513C4">
      <w:pPr>
        <w:spacing w:after="218" w:line="259" w:lineRule="auto"/>
        <w:ind w:left="70"/>
        <w:jc w:val="center"/>
      </w:pPr>
      <w:r>
        <w:rPr>
          <w:b/>
        </w:rPr>
        <w:t xml:space="preserve"> </w:t>
      </w:r>
    </w:p>
    <w:p w14:paraId="6E5EB224" w14:textId="77777777" w:rsidR="00C513C4" w:rsidRDefault="00C513C4" w:rsidP="00C513C4">
      <w:pPr>
        <w:spacing w:after="216" w:line="259" w:lineRule="auto"/>
        <w:ind w:left="70"/>
        <w:jc w:val="center"/>
      </w:pPr>
      <w:r>
        <w:rPr>
          <w:b/>
        </w:rPr>
        <w:t xml:space="preserve"> </w:t>
      </w:r>
    </w:p>
    <w:p w14:paraId="41E50038" w14:textId="77777777" w:rsidR="00C513C4" w:rsidRDefault="00C513C4" w:rsidP="00C513C4">
      <w:pPr>
        <w:spacing w:after="218" w:line="259" w:lineRule="auto"/>
        <w:ind w:left="70"/>
        <w:jc w:val="center"/>
      </w:pPr>
      <w:r>
        <w:rPr>
          <w:b/>
        </w:rPr>
        <w:t xml:space="preserve"> </w:t>
      </w:r>
    </w:p>
    <w:p w14:paraId="094648FA" w14:textId="77777777" w:rsidR="00C513C4" w:rsidRDefault="00C513C4" w:rsidP="00C513C4">
      <w:pPr>
        <w:spacing w:after="215" w:line="259" w:lineRule="auto"/>
        <w:ind w:left="70"/>
        <w:jc w:val="center"/>
      </w:pPr>
      <w:r>
        <w:rPr>
          <w:b/>
        </w:rPr>
        <w:t xml:space="preserve"> </w:t>
      </w:r>
    </w:p>
    <w:p w14:paraId="686A501F" w14:textId="77777777" w:rsidR="00C513C4" w:rsidRDefault="00C513C4" w:rsidP="00C513C4">
      <w:pPr>
        <w:spacing w:after="218" w:line="259" w:lineRule="auto"/>
        <w:ind w:left="70"/>
        <w:jc w:val="center"/>
      </w:pPr>
      <w:r>
        <w:rPr>
          <w:b/>
        </w:rPr>
        <w:t xml:space="preserve"> </w:t>
      </w:r>
    </w:p>
    <w:p w14:paraId="5190A308" w14:textId="77777777" w:rsidR="00C513C4" w:rsidRDefault="00C513C4" w:rsidP="00C513C4">
      <w:pPr>
        <w:spacing w:after="218" w:line="259" w:lineRule="auto"/>
        <w:ind w:left="70"/>
        <w:jc w:val="center"/>
      </w:pPr>
      <w:r>
        <w:rPr>
          <w:b/>
        </w:rPr>
        <w:t xml:space="preserve"> </w:t>
      </w:r>
    </w:p>
    <w:p w14:paraId="34CB47B8" w14:textId="77777777" w:rsidR="00C513C4" w:rsidRDefault="00C513C4" w:rsidP="00C513C4">
      <w:pPr>
        <w:spacing w:after="215" w:line="259" w:lineRule="auto"/>
        <w:ind w:left="70"/>
        <w:jc w:val="center"/>
      </w:pPr>
      <w:r>
        <w:rPr>
          <w:b/>
        </w:rPr>
        <w:t xml:space="preserve"> </w:t>
      </w:r>
    </w:p>
    <w:p w14:paraId="758B2134" w14:textId="77777777" w:rsidR="00C513C4" w:rsidRDefault="00C513C4" w:rsidP="00C513C4">
      <w:pPr>
        <w:spacing w:line="259" w:lineRule="auto"/>
        <w:ind w:left="70"/>
        <w:jc w:val="center"/>
      </w:pPr>
      <w:r>
        <w:rPr>
          <w:b/>
        </w:rPr>
        <w:t xml:space="preserve"> </w:t>
      </w:r>
    </w:p>
    <w:tbl>
      <w:tblPr>
        <w:tblStyle w:val="TableGrid0"/>
        <w:tblW w:w="4923" w:type="dxa"/>
        <w:tblInd w:w="4213" w:type="dxa"/>
        <w:tblCellMar>
          <w:top w:w="7" w:type="dxa"/>
          <w:left w:w="108" w:type="dxa"/>
          <w:right w:w="115" w:type="dxa"/>
        </w:tblCellMar>
        <w:tblLook w:val="04A0" w:firstRow="1" w:lastRow="0" w:firstColumn="1" w:lastColumn="0" w:noHBand="0" w:noVBand="1"/>
      </w:tblPr>
      <w:tblGrid>
        <w:gridCol w:w="2460"/>
        <w:gridCol w:w="2463"/>
      </w:tblGrid>
      <w:tr w:rsidR="00C513C4" w14:paraId="213ACD02" w14:textId="77777777" w:rsidTr="001C3CEF">
        <w:trPr>
          <w:trHeight w:val="500"/>
        </w:trPr>
        <w:tc>
          <w:tcPr>
            <w:tcW w:w="2460" w:type="dxa"/>
            <w:tcBorders>
              <w:top w:val="single" w:sz="4" w:space="0" w:color="000000"/>
              <w:left w:val="single" w:sz="4" w:space="0" w:color="000000"/>
              <w:bottom w:val="single" w:sz="4" w:space="0" w:color="000000"/>
              <w:right w:val="single" w:sz="4" w:space="0" w:color="000000"/>
            </w:tcBorders>
          </w:tcPr>
          <w:p w14:paraId="7585AD0A" w14:textId="77777777" w:rsidR="00C513C4" w:rsidRDefault="00C513C4" w:rsidP="001C3CEF">
            <w:pPr>
              <w:spacing w:line="259" w:lineRule="auto"/>
            </w:pPr>
            <w:r>
              <w:rPr>
                <w:b/>
              </w:rPr>
              <w:t xml:space="preserve">Responsibility of  </w:t>
            </w:r>
          </w:p>
        </w:tc>
        <w:tc>
          <w:tcPr>
            <w:tcW w:w="2463" w:type="dxa"/>
            <w:tcBorders>
              <w:top w:val="single" w:sz="4" w:space="0" w:color="000000"/>
              <w:left w:val="single" w:sz="4" w:space="0" w:color="000000"/>
              <w:bottom w:val="single" w:sz="4" w:space="0" w:color="000000"/>
              <w:right w:val="single" w:sz="4" w:space="0" w:color="000000"/>
            </w:tcBorders>
          </w:tcPr>
          <w:p w14:paraId="244C613B" w14:textId="77777777" w:rsidR="00C513C4" w:rsidRPr="00B854A3" w:rsidRDefault="00C513C4" w:rsidP="001C3CEF">
            <w:pPr>
              <w:spacing w:line="259" w:lineRule="auto"/>
              <w:rPr>
                <w:bCs/>
              </w:rPr>
            </w:pPr>
            <w:r>
              <w:rPr>
                <w:bCs/>
              </w:rPr>
              <w:t>Environmental Operations Group</w:t>
            </w:r>
            <w:r w:rsidRPr="00B854A3">
              <w:rPr>
                <w:bCs/>
              </w:rPr>
              <w:t xml:space="preserve"> </w:t>
            </w:r>
          </w:p>
        </w:tc>
      </w:tr>
      <w:tr w:rsidR="00C513C4" w14:paraId="79D178F0" w14:textId="77777777" w:rsidTr="001C3CEF">
        <w:trPr>
          <w:trHeight w:val="502"/>
        </w:trPr>
        <w:tc>
          <w:tcPr>
            <w:tcW w:w="2460" w:type="dxa"/>
            <w:tcBorders>
              <w:top w:val="single" w:sz="4" w:space="0" w:color="000000"/>
              <w:left w:val="single" w:sz="4" w:space="0" w:color="000000"/>
              <w:bottom w:val="single" w:sz="4" w:space="0" w:color="000000"/>
              <w:right w:val="single" w:sz="4" w:space="0" w:color="000000"/>
            </w:tcBorders>
          </w:tcPr>
          <w:p w14:paraId="67D77E85" w14:textId="77777777" w:rsidR="00C513C4" w:rsidRDefault="00C513C4" w:rsidP="001C3CEF">
            <w:pPr>
              <w:spacing w:line="259" w:lineRule="auto"/>
            </w:pPr>
            <w:r>
              <w:rPr>
                <w:b/>
              </w:rPr>
              <w:t xml:space="preserve">Initial approval date </w:t>
            </w:r>
          </w:p>
        </w:tc>
        <w:tc>
          <w:tcPr>
            <w:tcW w:w="2463" w:type="dxa"/>
            <w:tcBorders>
              <w:top w:val="single" w:sz="4" w:space="0" w:color="000000"/>
              <w:left w:val="single" w:sz="4" w:space="0" w:color="000000"/>
              <w:bottom w:val="single" w:sz="4" w:space="0" w:color="000000"/>
              <w:right w:val="single" w:sz="4" w:space="0" w:color="000000"/>
            </w:tcBorders>
          </w:tcPr>
          <w:p w14:paraId="511DA861" w14:textId="77777777" w:rsidR="00C513C4" w:rsidRPr="00B854A3" w:rsidRDefault="00C513C4" w:rsidP="001C3CEF">
            <w:pPr>
              <w:spacing w:line="259" w:lineRule="auto"/>
              <w:rPr>
                <w:bCs/>
              </w:rPr>
            </w:pPr>
            <w:r w:rsidRPr="00B854A3">
              <w:rPr>
                <w:bCs/>
              </w:rPr>
              <w:t>Ju</w:t>
            </w:r>
            <w:r>
              <w:rPr>
                <w:bCs/>
              </w:rPr>
              <w:t>ly</w:t>
            </w:r>
            <w:r w:rsidRPr="00B854A3">
              <w:rPr>
                <w:bCs/>
              </w:rPr>
              <w:t xml:space="preserve"> 202</w:t>
            </w:r>
            <w:r>
              <w:rPr>
                <w:bCs/>
              </w:rPr>
              <w:t>3</w:t>
            </w:r>
            <w:r w:rsidRPr="00B854A3">
              <w:rPr>
                <w:bCs/>
              </w:rPr>
              <w:t xml:space="preserve"> </w:t>
            </w:r>
          </w:p>
        </w:tc>
      </w:tr>
      <w:tr w:rsidR="00C513C4" w14:paraId="6690C872" w14:textId="77777777" w:rsidTr="001C3CEF">
        <w:trPr>
          <w:trHeight w:val="502"/>
        </w:trPr>
        <w:tc>
          <w:tcPr>
            <w:tcW w:w="2460" w:type="dxa"/>
            <w:tcBorders>
              <w:top w:val="single" w:sz="4" w:space="0" w:color="000000"/>
              <w:left w:val="single" w:sz="4" w:space="0" w:color="000000"/>
              <w:bottom w:val="single" w:sz="4" w:space="0" w:color="000000"/>
              <w:right w:val="single" w:sz="4" w:space="0" w:color="000000"/>
            </w:tcBorders>
          </w:tcPr>
          <w:p w14:paraId="74197802" w14:textId="77777777" w:rsidR="00C513C4" w:rsidRDefault="00C513C4" w:rsidP="001C3CEF">
            <w:pPr>
              <w:spacing w:line="259" w:lineRule="auto"/>
              <w:rPr>
                <w:b/>
              </w:rPr>
            </w:pPr>
            <w:r>
              <w:rPr>
                <w:b/>
              </w:rPr>
              <w:t>Reviewed</w:t>
            </w:r>
          </w:p>
        </w:tc>
        <w:tc>
          <w:tcPr>
            <w:tcW w:w="2463" w:type="dxa"/>
            <w:tcBorders>
              <w:top w:val="single" w:sz="4" w:space="0" w:color="000000"/>
              <w:left w:val="single" w:sz="4" w:space="0" w:color="000000"/>
              <w:bottom w:val="single" w:sz="4" w:space="0" w:color="000000"/>
              <w:right w:val="single" w:sz="4" w:space="0" w:color="000000"/>
            </w:tcBorders>
          </w:tcPr>
          <w:p w14:paraId="101DE96E" w14:textId="77777777" w:rsidR="00C513C4" w:rsidRPr="00B854A3" w:rsidRDefault="00C513C4" w:rsidP="001C3CEF">
            <w:pPr>
              <w:spacing w:line="259" w:lineRule="auto"/>
              <w:rPr>
                <w:bCs/>
              </w:rPr>
            </w:pPr>
            <w:r w:rsidRPr="00B854A3">
              <w:rPr>
                <w:bCs/>
              </w:rPr>
              <w:t>J</w:t>
            </w:r>
            <w:r>
              <w:rPr>
                <w:bCs/>
              </w:rPr>
              <w:t>une</w:t>
            </w:r>
            <w:r w:rsidRPr="00B854A3">
              <w:rPr>
                <w:bCs/>
              </w:rPr>
              <w:t xml:space="preserve"> 202</w:t>
            </w:r>
            <w:r>
              <w:rPr>
                <w:bCs/>
              </w:rPr>
              <w:t>4</w:t>
            </w:r>
          </w:p>
        </w:tc>
      </w:tr>
      <w:tr w:rsidR="00C513C4" w14:paraId="4596C158" w14:textId="77777777" w:rsidTr="001C3CEF">
        <w:trPr>
          <w:trHeight w:val="502"/>
        </w:trPr>
        <w:tc>
          <w:tcPr>
            <w:tcW w:w="2460" w:type="dxa"/>
            <w:tcBorders>
              <w:top w:val="single" w:sz="4" w:space="0" w:color="000000"/>
              <w:left w:val="single" w:sz="4" w:space="0" w:color="000000"/>
              <w:bottom w:val="single" w:sz="4" w:space="0" w:color="000000"/>
              <w:right w:val="single" w:sz="4" w:space="0" w:color="000000"/>
            </w:tcBorders>
          </w:tcPr>
          <w:p w14:paraId="5B66B30D" w14:textId="77777777" w:rsidR="00C513C4" w:rsidRDefault="00C513C4" w:rsidP="001C3CEF">
            <w:pPr>
              <w:spacing w:line="259" w:lineRule="auto"/>
            </w:pPr>
            <w:r>
              <w:rPr>
                <w:b/>
              </w:rPr>
              <w:t xml:space="preserve"> Next review</w:t>
            </w:r>
          </w:p>
        </w:tc>
        <w:tc>
          <w:tcPr>
            <w:tcW w:w="2463" w:type="dxa"/>
            <w:tcBorders>
              <w:top w:val="single" w:sz="4" w:space="0" w:color="000000"/>
              <w:left w:val="single" w:sz="4" w:space="0" w:color="000000"/>
              <w:bottom w:val="single" w:sz="4" w:space="0" w:color="000000"/>
              <w:right w:val="single" w:sz="4" w:space="0" w:color="000000"/>
            </w:tcBorders>
          </w:tcPr>
          <w:p w14:paraId="0DEFDA4F" w14:textId="77777777" w:rsidR="00C513C4" w:rsidRPr="00B854A3" w:rsidRDefault="00C513C4" w:rsidP="001C3CEF">
            <w:pPr>
              <w:spacing w:line="259" w:lineRule="auto"/>
              <w:rPr>
                <w:bCs/>
              </w:rPr>
            </w:pPr>
            <w:r>
              <w:rPr>
                <w:bCs/>
              </w:rPr>
              <w:t>June 2025</w:t>
            </w:r>
          </w:p>
        </w:tc>
      </w:tr>
      <w:tr w:rsidR="00C513C4" w14:paraId="0DCAAE79" w14:textId="77777777" w:rsidTr="001C3CEF">
        <w:trPr>
          <w:trHeight w:val="792"/>
        </w:trPr>
        <w:tc>
          <w:tcPr>
            <w:tcW w:w="2460" w:type="dxa"/>
            <w:tcBorders>
              <w:top w:val="single" w:sz="4" w:space="0" w:color="000000"/>
              <w:left w:val="single" w:sz="4" w:space="0" w:color="000000"/>
              <w:bottom w:val="single" w:sz="4" w:space="0" w:color="000000"/>
              <w:right w:val="single" w:sz="4" w:space="0" w:color="000000"/>
            </w:tcBorders>
          </w:tcPr>
          <w:p w14:paraId="43843319" w14:textId="77777777" w:rsidR="00C513C4" w:rsidRDefault="00C513C4" w:rsidP="001C3CEF">
            <w:pPr>
              <w:spacing w:line="259" w:lineRule="auto"/>
            </w:pPr>
            <w:r>
              <w:rPr>
                <w:b/>
              </w:rPr>
              <w:t xml:space="preserve">Approved by  </w:t>
            </w:r>
          </w:p>
        </w:tc>
        <w:tc>
          <w:tcPr>
            <w:tcW w:w="2463" w:type="dxa"/>
            <w:tcBorders>
              <w:top w:val="single" w:sz="4" w:space="0" w:color="000000"/>
              <w:left w:val="single" w:sz="4" w:space="0" w:color="000000"/>
              <w:bottom w:val="single" w:sz="4" w:space="0" w:color="000000"/>
              <w:right w:val="single" w:sz="4" w:space="0" w:color="000000"/>
            </w:tcBorders>
          </w:tcPr>
          <w:p w14:paraId="41A90FA9" w14:textId="77777777" w:rsidR="00C513C4" w:rsidRPr="00B854A3" w:rsidRDefault="00C513C4" w:rsidP="001C3CEF">
            <w:pPr>
              <w:spacing w:line="259" w:lineRule="auto"/>
              <w:rPr>
                <w:bCs/>
              </w:rPr>
            </w:pPr>
            <w:r>
              <w:rPr>
                <w:bCs/>
              </w:rPr>
              <w:t>Vice-Chancellor Executive</w:t>
            </w:r>
          </w:p>
        </w:tc>
      </w:tr>
    </w:tbl>
    <w:p w14:paraId="339416E6" w14:textId="77777777" w:rsidR="00C513C4" w:rsidRDefault="00C513C4" w:rsidP="00C513C4">
      <w:pPr>
        <w:spacing w:after="215" w:line="259" w:lineRule="auto"/>
        <w:ind w:left="70"/>
        <w:jc w:val="center"/>
      </w:pPr>
      <w:r>
        <w:rPr>
          <w:b/>
        </w:rPr>
        <w:t xml:space="preserve"> </w:t>
      </w:r>
    </w:p>
    <w:p w14:paraId="14E2034B" w14:textId="27A59FC4" w:rsidR="008B1658" w:rsidRDefault="008B1658" w:rsidP="008B1658">
      <w:pPr>
        <w:spacing w:after="218" w:line="259" w:lineRule="auto"/>
        <w:ind w:left="70"/>
        <w:jc w:val="center"/>
        <w:rPr>
          <w:b/>
          <w:sz w:val="28"/>
          <w:szCs w:val="28"/>
        </w:rPr>
        <w:sectPr w:rsidR="008B1658" w:rsidSect="0057717A">
          <w:headerReference w:type="default" r:id="rId11"/>
          <w:footerReference w:type="default" r:id="rId12"/>
          <w:pgSz w:w="11906" w:h="16838"/>
          <w:pgMar w:top="1440" w:right="1440" w:bottom="403" w:left="1440" w:header="720" w:footer="720" w:gutter="0"/>
          <w:cols w:space="720"/>
          <w:docGrid w:linePitch="299"/>
        </w:sectPr>
      </w:pPr>
      <w:r>
        <w:rPr>
          <w:b/>
        </w:rPr>
        <w:br w:type="page"/>
      </w:r>
    </w:p>
    <w:p w14:paraId="504C04C6" w14:textId="77777777" w:rsidR="00C513C4" w:rsidRDefault="00C513C4" w:rsidP="00A36BCF">
      <w:pPr>
        <w:spacing w:after="160" w:line="259" w:lineRule="auto"/>
        <w:jc w:val="both"/>
        <w:rPr>
          <w:b/>
          <w:sz w:val="28"/>
          <w:szCs w:val="28"/>
        </w:rPr>
      </w:pPr>
      <w:r>
        <w:rPr>
          <w:b/>
          <w:sz w:val="28"/>
          <w:szCs w:val="28"/>
        </w:rPr>
        <w:lastRenderedPageBreak/>
        <w:t>Carbon management plan</w:t>
      </w:r>
    </w:p>
    <w:p w14:paraId="0F600B74" w14:textId="02AEEEED" w:rsidR="00C513C4" w:rsidRDefault="00C513C4" w:rsidP="00A36BCF">
      <w:pPr>
        <w:spacing w:after="220" w:line="259" w:lineRule="auto"/>
        <w:jc w:val="both"/>
      </w:pPr>
      <w:r>
        <w:rPr>
          <w:b/>
        </w:rPr>
        <w:t>1</w:t>
      </w:r>
      <w:r>
        <w:rPr>
          <w:b/>
        </w:rPr>
        <w:tab/>
        <w:t>Introduction</w:t>
      </w:r>
    </w:p>
    <w:p w14:paraId="72A42DB7" w14:textId="77777777" w:rsidR="00C513C4" w:rsidRDefault="00C513C4" w:rsidP="00A36BCF">
      <w:pPr>
        <w:spacing w:after="220"/>
        <w:ind w:left="720" w:hanging="720"/>
        <w:jc w:val="both"/>
      </w:pPr>
      <w:r>
        <w:t>1.1</w:t>
      </w:r>
      <w:r>
        <w:tab/>
      </w:r>
      <w:r w:rsidRPr="00B54B1D">
        <w:t>The University of West London</w:t>
      </w:r>
      <w:r>
        <w:t xml:space="preserve"> (UWL)</w:t>
      </w:r>
      <w:r w:rsidRPr="00B54B1D">
        <w:t xml:space="preserve"> has four campus sites in Ealing and Brentford, west London and an educational hub at Fountain House in Reading. Drama Studio London in Ealing, and Ruskin College, Oxford are also part of the UWL Group where the University supports </w:t>
      </w:r>
      <w:r>
        <w:t>carbon management initiatives</w:t>
      </w:r>
      <w:r w:rsidRPr="00B54B1D">
        <w:t>.</w:t>
      </w:r>
    </w:p>
    <w:p w14:paraId="1F7AB7C0" w14:textId="77777777" w:rsidR="00C513C4" w:rsidRDefault="00C513C4" w:rsidP="00A36BCF">
      <w:pPr>
        <w:spacing w:after="220"/>
        <w:ind w:left="720" w:hanging="720"/>
        <w:jc w:val="both"/>
      </w:pPr>
      <w:r w:rsidRPr="00167B40">
        <w:t xml:space="preserve">1.2 </w:t>
      </w:r>
      <w:r w:rsidRPr="00167B40">
        <w:tab/>
        <w:t>The University teaches a variety of academic subjects across eleven academic schools. The day-to-day activities of staff and students have a major impact on the local community and environment, and therefore the University is a significant contributor to the local economy, especially in west London.</w:t>
      </w:r>
    </w:p>
    <w:p w14:paraId="41E7F460" w14:textId="77777777" w:rsidR="00C513C4" w:rsidRDefault="00C513C4" w:rsidP="00A36BCF">
      <w:pPr>
        <w:spacing w:after="220"/>
        <w:ind w:left="720" w:hanging="720"/>
        <w:jc w:val="both"/>
      </w:pPr>
      <w:r>
        <w:t xml:space="preserve">1.3 </w:t>
      </w:r>
      <w:r>
        <w:tab/>
        <w:t>UWL</w:t>
      </w:r>
      <w:r w:rsidRPr="00E20937">
        <w:t xml:space="preserve"> has developed a Carbon Management Plan (CMP) and programme of initiatives designed specifically</w:t>
      </w:r>
      <w:r>
        <w:t xml:space="preserve"> target carbon emissions with the goal of delivering significant reductions across the University’s portfolio. </w:t>
      </w:r>
    </w:p>
    <w:p w14:paraId="7A96E67B" w14:textId="77777777" w:rsidR="00C513C4" w:rsidRDefault="00C513C4" w:rsidP="00A36BCF">
      <w:pPr>
        <w:spacing w:after="220"/>
        <w:ind w:left="720" w:hanging="720"/>
        <w:jc w:val="both"/>
      </w:pPr>
      <w:r>
        <w:t>1.4</w:t>
      </w:r>
      <w:r>
        <w:tab/>
      </w:r>
      <w:r w:rsidRPr="00576309">
        <w:t>Th</w:t>
      </w:r>
      <w:r>
        <w:t xml:space="preserve">e CMP </w:t>
      </w:r>
      <w:r w:rsidRPr="00576309">
        <w:t>is reviewed on an annual basis.</w:t>
      </w:r>
    </w:p>
    <w:p w14:paraId="0A14F433" w14:textId="77777777" w:rsidR="00C513C4" w:rsidRDefault="00C513C4" w:rsidP="00A36BCF">
      <w:pPr>
        <w:spacing w:after="220"/>
        <w:jc w:val="both"/>
      </w:pPr>
    </w:p>
    <w:p w14:paraId="60E8F136" w14:textId="709797FE" w:rsidR="00C513C4" w:rsidRDefault="00C513C4" w:rsidP="00A36BCF">
      <w:pPr>
        <w:spacing w:after="220" w:line="259" w:lineRule="auto"/>
        <w:jc w:val="both"/>
        <w:rPr>
          <w:b/>
        </w:rPr>
      </w:pPr>
      <w:r>
        <w:rPr>
          <w:b/>
        </w:rPr>
        <w:t>2</w:t>
      </w:r>
      <w:r>
        <w:rPr>
          <w:b/>
        </w:rPr>
        <w:tab/>
        <w:t>Background</w:t>
      </w:r>
    </w:p>
    <w:p w14:paraId="637A96A8" w14:textId="77777777" w:rsidR="00C513C4" w:rsidRDefault="00C513C4" w:rsidP="00A36BCF">
      <w:pPr>
        <w:spacing w:after="220" w:line="259" w:lineRule="auto"/>
        <w:ind w:left="720" w:hanging="720"/>
        <w:jc w:val="both"/>
      </w:pPr>
      <w:r>
        <w:t>2</w:t>
      </w:r>
      <w:r w:rsidRPr="00F332B7">
        <w:t>.</w:t>
      </w:r>
      <w:r>
        <w:t>1</w:t>
      </w:r>
      <w:r w:rsidRPr="00F332B7">
        <w:tab/>
        <w:t xml:space="preserve">The underlying need for this </w:t>
      </w:r>
      <w:r>
        <w:t>CMP</w:t>
      </w:r>
      <w:r w:rsidRPr="00F332B7">
        <w:t xml:space="preserve"> is </w:t>
      </w:r>
      <w:r>
        <w:t xml:space="preserve">to deliver on the University’s carbon reduction targets and wider </w:t>
      </w:r>
      <w:r w:rsidRPr="00F332B7">
        <w:t xml:space="preserve">statutory obligations. </w:t>
      </w:r>
    </w:p>
    <w:p w14:paraId="70F29667" w14:textId="77777777" w:rsidR="00C513C4" w:rsidRDefault="00C513C4" w:rsidP="00A36BCF">
      <w:pPr>
        <w:spacing w:after="220" w:line="259" w:lineRule="auto"/>
        <w:ind w:left="720" w:hanging="720"/>
        <w:jc w:val="both"/>
      </w:pPr>
      <w:r>
        <w:t>2</w:t>
      </w:r>
      <w:r w:rsidRPr="004500A9">
        <w:t>.</w:t>
      </w:r>
      <w:r>
        <w:t>2</w:t>
      </w:r>
      <w:r w:rsidRPr="004500A9">
        <w:tab/>
        <w:t xml:space="preserve">The Board of Governors </w:t>
      </w:r>
      <w:r>
        <w:t>(</w:t>
      </w:r>
      <w:proofErr w:type="spellStart"/>
      <w:r>
        <w:t>BoG</w:t>
      </w:r>
      <w:proofErr w:type="spellEnd"/>
      <w:r>
        <w:t xml:space="preserve">) </w:t>
      </w:r>
      <w:r w:rsidRPr="004500A9">
        <w:t xml:space="preserve">has endorsed the University Strategic Plan </w:t>
      </w:r>
      <w:r w:rsidRPr="00811654">
        <w:rPr>
          <w:i/>
          <w:iCs/>
        </w:rPr>
        <w:t>Achievement 2023</w:t>
      </w:r>
      <w:r w:rsidRPr="004500A9">
        <w:t xml:space="preserve"> which contains a clear commitment to “improve significantly environmental credentials” by 2023. The KPI set by the </w:t>
      </w:r>
      <w:proofErr w:type="spellStart"/>
      <w:r>
        <w:t>BoG</w:t>
      </w:r>
      <w:proofErr w:type="spellEnd"/>
      <w:r w:rsidRPr="004500A9">
        <w:t xml:space="preserve"> to measure progress in achieving environmental sustainability </w:t>
      </w:r>
      <w:r>
        <w:t>was</w:t>
      </w:r>
      <w:r w:rsidRPr="004500A9">
        <w:t xml:space="preserve"> for the University to achieve the </w:t>
      </w:r>
      <w:proofErr w:type="spellStart"/>
      <w:r w:rsidRPr="004500A9">
        <w:t>EcoCampus</w:t>
      </w:r>
      <w:proofErr w:type="spellEnd"/>
      <w:r w:rsidRPr="004500A9">
        <w:t xml:space="preserve"> Gold Award by 2023.</w:t>
      </w:r>
      <w:r>
        <w:t xml:space="preserve">  </w:t>
      </w:r>
    </w:p>
    <w:p w14:paraId="2580D26C" w14:textId="17844BC0" w:rsidR="00C513C4" w:rsidRDefault="00C513C4" w:rsidP="00A36BCF">
      <w:pPr>
        <w:spacing w:after="220" w:line="259" w:lineRule="auto"/>
        <w:ind w:left="720" w:hanging="720"/>
        <w:jc w:val="both"/>
      </w:pPr>
      <w:r>
        <w:t>2.3</w:t>
      </w:r>
      <w:r>
        <w:tab/>
        <w:t xml:space="preserve">The </w:t>
      </w:r>
      <w:proofErr w:type="spellStart"/>
      <w:r>
        <w:t>BoG</w:t>
      </w:r>
      <w:proofErr w:type="spellEnd"/>
      <w:r>
        <w:t xml:space="preserve"> also approved the adoption of </w:t>
      </w:r>
      <w:r w:rsidR="00B67AFB">
        <w:t>relevant</w:t>
      </w:r>
      <w:r>
        <w:t xml:space="preserve"> UN Sustainable Development Goals (SDGs) relating to environmental sustainability to drive its sustainability agenda forward, including Climate Action. The University is committed to delivering relevant SDGs by 2030. </w:t>
      </w:r>
    </w:p>
    <w:p w14:paraId="5A154D61" w14:textId="77777777" w:rsidR="00C513C4" w:rsidRDefault="00C513C4" w:rsidP="00A36BCF">
      <w:pPr>
        <w:spacing w:after="220" w:line="259" w:lineRule="auto"/>
        <w:ind w:left="720" w:hanging="720"/>
        <w:jc w:val="both"/>
      </w:pPr>
      <w:r>
        <w:t>2.4</w:t>
      </w:r>
      <w:r>
        <w:tab/>
        <w:t>In 2020, the University declared a Climate Emergency and signed the United Nations Race to Zero campaign to commit to achieving net zero carbon by 2030.</w:t>
      </w:r>
    </w:p>
    <w:p w14:paraId="7E465B66" w14:textId="77777777" w:rsidR="00C513C4" w:rsidRDefault="00C513C4" w:rsidP="00A36BCF">
      <w:pPr>
        <w:spacing w:after="220" w:line="259" w:lineRule="auto"/>
        <w:ind w:left="720" w:hanging="720"/>
        <w:jc w:val="both"/>
      </w:pPr>
    </w:p>
    <w:p w14:paraId="6C2D5E19" w14:textId="0C10B31F" w:rsidR="00C513C4" w:rsidRDefault="00C513C4" w:rsidP="00A36BCF">
      <w:pPr>
        <w:spacing w:after="220" w:line="259" w:lineRule="auto"/>
        <w:jc w:val="both"/>
        <w:rPr>
          <w:b/>
        </w:rPr>
      </w:pPr>
      <w:r>
        <w:rPr>
          <w:b/>
        </w:rPr>
        <w:t>3</w:t>
      </w:r>
      <w:r>
        <w:rPr>
          <w:b/>
        </w:rPr>
        <w:tab/>
        <w:t>Carbon emissions baseline</w:t>
      </w:r>
    </w:p>
    <w:p w14:paraId="237FE3A3" w14:textId="77777777" w:rsidR="00C513C4" w:rsidRDefault="00C513C4" w:rsidP="00A36BCF">
      <w:pPr>
        <w:spacing w:after="220" w:line="259" w:lineRule="auto"/>
        <w:ind w:left="720" w:hanging="720"/>
        <w:jc w:val="both"/>
      </w:pPr>
      <w:r>
        <w:t>3.1</w:t>
      </w:r>
      <w:r>
        <w:tab/>
        <w:t>The carbon emissions baseline is for the academic year, 2021/22, which is between 1</w:t>
      </w:r>
      <w:r w:rsidRPr="008740AD">
        <w:rPr>
          <w:vertAlign w:val="superscript"/>
        </w:rPr>
        <w:t>st</w:t>
      </w:r>
      <w:r>
        <w:t xml:space="preserve"> August 2021 to 31</w:t>
      </w:r>
      <w:r w:rsidRPr="008740AD">
        <w:rPr>
          <w:vertAlign w:val="superscript"/>
        </w:rPr>
        <w:t>st</w:t>
      </w:r>
      <w:r>
        <w:t xml:space="preserve"> July 2022. </w:t>
      </w:r>
    </w:p>
    <w:p w14:paraId="7C4CB61C" w14:textId="77777777" w:rsidR="00C513C4" w:rsidRDefault="00C513C4" w:rsidP="00A36BCF">
      <w:pPr>
        <w:spacing w:after="220" w:line="259" w:lineRule="auto"/>
        <w:ind w:left="720" w:hanging="720"/>
        <w:jc w:val="both"/>
      </w:pPr>
      <w:r>
        <w:t>3.2</w:t>
      </w:r>
      <w:r>
        <w:tab/>
        <w:t xml:space="preserve">The total carbon emissions calculated during 2021/22 is 12,825 tCO2e. This figure includes all Scopes 1, 2 and 3 activities where data is available and </w:t>
      </w:r>
      <w:r>
        <w:lastRenderedPageBreak/>
        <w:t xml:space="preserve">covers electricity, fuel, natural gas, water, waste and travel. Table 1 below shows a detailed breakdown of the carbon emissions baseline. </w:t>
      </w:r>
    </w:p>
    <w:p w14:paraId="25F33E78" w14:textId="572350D1" w:rsidR="00C513C4" w:rsidRPr="00641714" w:rsidRDefault="00C513C4" w:rsidP="00C513C4">
      <w:pPr>
        <w:pStyle w:val="Caption"/>
        <w:keepNext/>
        <w:rPr>
          <w:rFonts w:ascii="Arial" w:hAnsi="Arial"/>
          <w:b/>
          <w:bCs/>
          <w:sz w:val="22"/>
          <w:szCs w:val="18"/>
        </w:rPr>
      </w:pPr>
      <w:r w:rsidRPr="00641714">
        <w:rPr>
          <w:rFonts w:ascii="Arial" w:hAnsi="Arial"/>
          <w:b/>
          <w:bCs/>
          <w:sz w:val="22"/>
          <w:szCs w:val="18"/>
        </w:rPr>
        <w:t xml:space="preserve">Table </w:t>
      </w:r>
      <w:r w:rsidRPr="00641714">
        <w:rPr>
          <w:rFonts w:ascii="Arial" w:hAnsi="Arial"/>
          <w:b/>
          <w:bCs/>
          <w:sz w:val="22"/>
          <w:szCs w:val="18"/>
        </w:rPr>
        <w:fldChar w:fldCharType="begin"/>
      </w:r>
      <w:r w:rsidRPr="00641714">
        <w:rPr>
          <w:rFonts w:ascii="Arial" w:hAnsi="Arial"/>
          <w:b/>
          <w:bCs/>
          <w:sz w:val="22"/>
          <w:szCs w:val="18"/>
        </w:rPr>
        <w:instrText xml:space="preserve"> SEQ Table \* ARABIC </w:instrText>
      </w:r>
      <w:r w:rsidRPr="00641714">
        <w:rPr>
          <w:rFonts w:ascii="Arial" w:hAnsi="Arial"/>
          <w:b/>
          <w:bCs/>
          <w:sz w:val="22"/>
          <w:szCs w:val="18"/>
        </w:rPr>
        <w:fldChar w:fldCharType="separate"/>
      </w:r>
      <w:r w:rsidR="00906576">
        <w:rPr>
          <w:rFonts w:ascii="Arial" w:hAnsi="Arial"/>
          <w:b/>
          <w:bCs/>
          <w:noProof/>
          <w:sz w:val="22"/>
          <w:szCs w:val="18"/>
        </w:rPr>
        <w:t>8</w:t>
      </w:r>
      <w:r w:rsidRPr="00641714">
        <w:rPr>
          <w:rFonts w:ascii="Arial" w:hAnsi="Arial"/>
          <w:b/>
          <w:bCs/>
          <w:sz w:val="22"/>
          <w:szCs w:val="18"/>
        </w:rPr>
        <w:fldChar w:fldCharType="end"/>
      </w:r>
      <w:r w:rsidRPr="00641714">
        <w:rPr>
          <w:rFonts w:ascii="Arial" w:hAnsi="Arial"/>
          <w:b/>
          <w:bCs/>
          <w:sz w:val="22"/>
          <w:szCs w:val="18"/>
        </w:rPr>
        <w:t xml:space="preserve"> </w:t>
      </w:r>
      <w:r>
        <w:rPr>
          <w:rFonts w:ascii="Arial" w:hAnsi="Arial"/>
          <w:b/>
          <w:bCs/>
          <w:sz w:val="22"/>
          <w:szCs w:val="18"/>
        </w:rPr>
        <w:t>Carbon emissions</w:t>
      </w:r>
      <w:r w:rsidRPr="00641714">
        <w:rPr>
          <w:rFonts w:ascii="Arial" w:hAnsi="Arial"/>
          <w:b/>
          <w:bCs/>
          <w:sz w:val="22"/>
          <w:szCs w:val="18"/>
        </w:rPr>
        <w:t xml:space="preserve"> </w:t>
      </w:r>
      <w:r>
        <w:rPr>
          <w:rFonts w:ascii="Arial" w:hAnsi="Arial"/>
          <w:b/>
          <w:bCs/>
          <w:sz w:val="22"/>
          <w:szCs w:val="18"/>
        </w:rPr>
        <w:t>b</w:t>
      </w:r>
      <w:r w:rsidRPr="00641714">
        <w:rPr>
          <w:rFonts w:ascii="Arial" w:hAnsi="Arial"/>
          <w:b/>
          <w:bCs/>
          <w:sz w:val="22"/>
          <w:szCs w:val="18"/>
        </w:rPr>
        <w:t>aseline (202</w:t>
      </w:r>
      <w:r>
        <w:rPr>
          <w:rFonts w:ascii="Arial" w:hAnsi="Arial"/>
          <w:b/>
          <w:bCs/>
          <w:sz w:val="22"/>
          <w:szCs w:val="18"/>
        </w:rPr>
        <w:t>1</w:t>
      </w:r>
      <w:r w:rsidRPr="00641714">
        <w:rPr>
          <w:rFonts w:ascii="Arial" w:hAnsi="Arial"/>
          <w:b/>
          <w:bCs/>
          <w:sz w:val="22"/>
          <w:szCs w:val="18"/>
        </w:rPr>
        <w:t>/2</w:t>
      </w:r>
      <w:r>
        <w:rPr>
          <w:rFonts w:ascii="Arial" w:hAnsi="Arial"/>
          <w:b/>
          <w:bCs/>
          <w:sz w:val="22"/>
          <w:szCs w:val="18"/>
        </w:rPr>
        <w:t>2</w:t>
      </w:r>
      <w:r w:rsidRPr="00641714">
        <w:rPr>
          <w:rFonts w:ascii="Arial" w:hAnsi="Arial"/>
          <w:b/>
          <w:bCs/>
          <w:sz w:val="22"/>
          <w:szCs w:val="18"/>
        </w:rPr>
        <w:t>)</w:t>
      </w:r>
    </w:p>
    <w:tbl>
      <w:tblPr>
        <w:tblStyle w:val="TableGrid"/>
        <w:tblW w:w="5000" w:type="pct"/>
        <w:tblLook w:val="04A0" w:firstRow="1" w:lastRow="0" w:firstColumn="1" w:lastColumn="0" w:noHBand="0" w:noVBand="1"/>
      </w:tblPr>
      <w:tblGrid>
        <w:gridCol w:w="1407"/>
        <w:gridCol w:w="4605"/>
        <w:gridCol w:w="3004"/>
      </w:tblGrid>
      <w:tr w:rsidR="007363A4" w14:paraId="0D2C3BA1" w14:textId="77777777" w:rsidTr="001C3CEF">
        <w:trPr>
          <w:trHeight w:val="401"/>
        </w:trPr>
        <w:tc>
          <w:tcPr>
            <w:tcW w:w="780" w:type="pct"/>
            <w:shd w:val="clear" w:color="auto" w:fill="B6DDE8" w:themeFill="accent5" w:themeFillTint="66"/>
            <w:vAlign w:val="center"/>
          </w:tcPr>
          <w:p w14:paraId="7FB04374" w14:textId="77777777" w:rsidR="00C513C4" w:rsidRDefault="00C513C4" w:rsidP="001C3CEF">
            <w:pPr>
              <w:jc w:val="center"/>
              <w:rPr>
                <w:b/>
                <w:bCs/>
              </w:rPr>
            </w:pPr>
            <w:r w:rsidRPr="00B21F89">
              <w:rPr>
                <w:b/>
                <w:bCs/>
                <w:sz w:val="22"/>
                <w:szCs w:val="22"/>
              </w:rPr>
              <w:t>Scope</w:t>
            </w:r>
          </w:p>
        </w:tc>
        <w:tc>
          <w:tcPr>
            <w:tcW w:w="2554" w:type="pct"/>
            <w:shd w:val="clear" w:color="auto" w:fill="B6DDE8" w:themeFill="accent5" w:themeFillTint="66"/>
            <w:vAlign w:val="center"/>
          </w:tcPr>
          <w:p w14:paraId="2818AC62" w14:textId="77777777" w:rsidR="00C513C4" w:rsidRPr="00BE381A" w:rsidRDefault="00C513C4" w:rsidP="001C3CEF">
            <w:pPr>
              <w:jc w:val="center"/>
              <w:rPr>
                <w:b/>
                <w:bCs/>
                <w:sz w:val="22"/>
                <w:szCs w:val="22"/>
              </w:rPr>
            </w:pPr>
            <w:r>
              <w:rPr>
                <w:b/>
                <w:bCs/>
                <w:sz w:val="22"/>
                <w:szCs w:val="22"/>
              </w:rPr>
              <w:t xml:space="preserve">Source </w:t>
            </w:r>
          </w:p>
        </w:tc>
        <w:tc>
          <w:tcPr>
            <w:tcW w:w="1666" w:type="pct"/>
            <w:shd w:val="clear" w:color="auto" w:fill="B6DDE8" w:themeFill="accent5" w:themeFillTint="66"/>
            <w:vAlign w:val="center"/>
          </w:tcPr>
          <w:p w14:paraId="5599ED2A" w14:textId="77777777" w:rsidR="00C513C4" w:rsidRPr="00BE381A" w:rsidRDefault="00C513C4" w:rsidP="001C3CEF">
            <w:pPr>
              <w:jc w:val="center"/>
              <w:rPr>
                <w:b/>
                <w:bCs/>
                <w:sz w:val="22"/>
                <w:szCs w:val="22"/>
              </w:rPr>
            </w:pPr>
            <w:r>
              <w:rPr>
                <w:b/>
                <w:bCs/>
                <w:sz w:val="22"/>
                <w:szCs w:val="22"/>
              </w:rPr>
              <w:t>Carbon emissions (tCO2e)</w:t>
            </w:r>
          </w:p>
        </w:tc>
      </w:tr>
      <w:tr w:rsidR="00C513C4" w14:paraId="7B534D01" w14:textId="77777777" w:rsidTr="001C3CEF">
        <w:tc>
          <w:tcPr>
            <w:tcW w:w="780" w:type="pct"/>
          </w:tcPr>
          <w:p w14:paraId="74F83B05" w14:textId="77777777" w:rsidR="00C513C4" w:rsidRPr="00C03A42" w:rsidRDefault="00C513C4" w:rsidP="001C3CEF">
            <w:pPr>
              <w:rPr>
                <w:sz w:val="22"/>
                <w:szCs w:val="22"/>
              </w:rPr>
            </w:pPr>
            <w:r w:rsidRPr="00C03A42">
              <w:rPr>
                <w:sz w:val="22"/>
                <w:szCs w:val="22"/>
              </w:rPr>
              <w:t>Scope 1</w:t>
            </w:r>
          </w:p>
        </w:tc>
        <w:tc>
          <w:tcPr>
            <w:tcW w:w="2554" w:type="pct"/>
          </w:tcPr>
          <w:p w14:paraId="71FD1D1C" w14:textId="77777777" w:rsidR="00C513C4" w:rsidRPr="00C03A42" w:rsidRDefault="00C513C4" w:rsidP="001C3CEF">
            <w:pPr>
              <w:rPr>
                <w:sz w:val="22"/>
                <w:szCs w:val="22"/>
              </w:rPr>
            </w:pPr>
            <w:r w:rsidRPr="00C03A42">
              <w:rPr>
                <w:sz w:val="22"/>
                <w:szCs w:val="22"/>
              </w:rPr>
              <w:t xml:space="preserve">Natural gas </w:t>
            </w:r>
          </w:p>
        </w:tc>
        <w:tc>
          <w:tcPr>
            <w:tcW w:w="1666" w:type="pct"/>
          </w:tcPr>
          <w:p w14:paraId="1652A366" w14:textId="77777777" w:rsidR="00C513C4" w:rsidRPr="00C03A42" w:rsidRDefault="00C513C4" w:rsidP="001C3CEF">
            <w:pPr>
              <w:rPr>
                <w:sz w:val="22"/>
                <w:szCs w:val="22"/>
              </w:rPr>
            </w:pPr>
            <w:r w:rsidRPr="00C03A42">
              <w:rPr>
                <w:sz w:val="22"/>
                <w:szCs w:val="22"/>
              </w:rPr>
              <w:t>555.37</w:t>
            </w:r>
          </w:p>
        </w:tc>
      </w:tr>
      <w:tr w:rsidR="007363A4" w14:paraId="6827F5F8" w14:textId="77777777" w:rsidTr="001C3CEF">
        <w:tc>
          <w:tcPr>
            <w:tcW w:w="780" w:type="pct"/>
            <w:shd w:val="clear" w:color="auto" w:fill="FFFFFF" w:themeFill="background1"/>
          </w:tcPr>
          <w:p w14:paraId="45BE0E1B" w14:textId="77777777" w:rsidR="00C513C4" w:rsidRPr="00C03A42" w:rsidRDefault="00C513C4" w:rsidP="001C3CEF">
            <w:pPr>
              <w:rPr>
                <w:sz w:val="22"/>
                <w:szCs w:val="22"/>
              </w:rPr>
            </w:pPr>
            <w:r w:rsidRPr="00C03A42">
              <w:rPr>
                <w:sz w:val="22"/>
                <w:szCs w:val="22"/>
              </w:rPr>
              <w:t>Scope 1</w:t>
            </w:r>
          </w:p>
        </w:tc>
        <w:tc>
          <w:tcPr>
            <w:tcW w:w="2554" w:type="pct"/>
            <w:shd w:val="clear" w:color="auto" w:fill="FFFFFF" w:themeFill="background1"/>
          </w:tcPr>
          <w:p w14:paraId="27300DA2" w14:textId="77777777" w:rsidR="00C513C4" w:rsidRPr="00C03A42" w:rsidRDefault="00C513C4" w:rsidP="001C3CEF">
            <w:pPr>
              <w:rPr>
                <w:sz w:val="22"/>
                <w:szCs w:val="22"/>
              </w:rPr>
            </w:pPr>
            <w:r w:rsidRPr="00C03A42">
              <w:rPr>
                <w:sz w:val="22"/>
                <w:szCs w:val="22"/>
              </w:rPr>
              <w:t xml:space="preserve">Other fuels </w:t>
            </w:r>
          </w:p>
        </w:tc>
        <w:tc>
          <w:tcPr>
            <w:tcW w:w="1666" w:type="pct"/>
            <w:shd w:val="clear" w:color="auto" w:fill="FFFFFF" w:themeFill="background1"/>
          </w:tcPr>
          <w:p w14:paraId="7987C1EF" w14:textId="77777777" w:rsidR="00C513C4" w:rsidRPr="00C03A42" w:rsidRDefault="00C513C4" w:rsidP="001C3CEF">
            <w:pPr>
              <w:rPr>
                <w:sz w:val="22"/>
                <w:szCs w:val="22"/>
              </w:rPr>
            </w:pPr>
            <w:r w:rsidRPr="00C03A42">
              <w:rPr>
                <w:sz w:val="22"/>
                <w:szCs w:val="22"/>
              </w:rPr>
              <w:t>4.565</w:t>
            </w:r>
          </w:p>
        </w:tc>
      </w:tr>
      <w:tr w:rsidR="00C513C4" w14:paraId="67F7F0CD" w14:textId="77777777" w:rsidTr="001C3CEF">
        <w:tc>
          <w:tcPr>
            <w:tcW w:w="780" w:type="pct"/>
          </w:tcPr>
          <w:p w14:paraId="60140694" w14:textId="77777777" w:rsidR="00C513C4" w:rsidRPr="00C03A42" w:rsidRDefault="00C513C4" w:rsidP="001C3CEF">
            <w:pPr>
              <w:rPr>
                <w:sz w:val="22"/>
                <w:szCs w:val="22"/>
              </w:rPr>
            </w:pPr>
            <w:r w:rsidRPr="00C03A42">
              <w:rPr>
                <w:sz w:val="22"/>
                <w:szCs w:val="22"/>
              </w:rPr>
              <w:t>Scope 2</w:t>
            </w:r>
          </w:p>
        </w:tc>
        <w:tc>
          <w:tcPr>
            <w:tcW w:w="2554" w:type="pct"/>
          </w:tcPr>
          <w:p w14:paraId="7B4D53A6" w14:textId="77777777" w:rsidR="00C513C4" w:rsidRPr="00C03A42" w:rsidRDefault="00C513C4" w:rsidP="001C3CEF">
            <w:pPr>
              <w:rPr>
                <w:sz w:val="22"/>
                <w:szCs w:val="22"/>
              </w:rPr>
            </w:pPr>
            <w:r w:rsidRPr="00C03A42">
              <w:rPr>
                <w:sz w:val="22"/>
                <w:szCs w:val="22"/>
              </w:rPr>
              <w:t xml:space="preserve">Electricity </w:t>
            </w:r>
          </w:p>
        </w:tc>
        <w:tc>
          <w:tcPr>
            <w:tcW w:w="1666" w:type="pct"/>
          </w:tcPr>
          <w:p w14:paraId="608EF91E" w14:textId="77777777" w:rsidR="00C513C4" w:rsidRPr="00C03A42" w:rsidRDefault="00C513C4" w:rsidP="001C3CEF">
            <w:pPr>
              <w:rPr>
                <w:sz w:val="22"/>
                <w:szCs w:val="22"/>
              </w:rPr>
            </w:pPr>
            <w:r w:rsidRPr="00C03A42">
              <w:rPr>
                <w:sz w:val="22"/>
                <w:szCs w:val="22"/>
              </w:rPr>
              <w:t>1,377.93</w:t>
            </w:r>
          </w:p>
        </w:tc>
      </w:tr>
      <w:tr w:rsidR="00C513C4" w14:paraId="219409B1" w14:textId="77777777" w:rsidTr="001C3CEF">
        <w:tc>
          <w:tcPr>
            <w:tcW w:w="780" w:type="pct"/>
          </w:tcPr>
          <w:p w14:paraId="2DDDE0CF" w14:textId="77777777" w:rsidR="00C513C4" w:rsidRPr="00C03A42" w:rsidRDefault="00C513C4" w:rsidP="001C3CEF">
            <w:pPr>
              <w:rPr>
                <w:sz w:val="22"/>
                <w:szCs w:val="22"/>
              </w:rPr>
            </w:pPr>
            <w:r w:rsidRPr="00C03A42">
              <w:rPr>
                <w:sz w:val="22"/>
                <w:szCs w:val="22"/>
              </w:rPr>
              <w:t>Scope 3</w:t>
            </w:r>
          </w:p>
        </w:tc>
        <w:tc>
          <w:tcPr>
            <w:tcW w:w="2554" w:type="pct"/>
          </w:tcPr>
          <w:p w14:paraId="3406341A" w14:textId="77777777" w:rsidR="00C513C4" w:rsidRPr="00C03A42" w:rsidRDefault="00C513C4" w:rsidP="001C3CEF">
            <w:pPr>
              <w:rPr>
                <w:sz w:val="22"/>
                <w:szCs w:val="22"/>
              </w:rPr>
            </w:pPr>
            <w:r w:rsidRPr="00C03A42">
              <w:rPr>
                <w:sz w:val="22"/>
                <w:szCs w:val="22"/>
              </w:rPr>
              <w:t xml:space="preserve">Water treatment </w:t>
            </w:r>
          </w:p>
        </w:tc>
        <w:tc>
          <w:tcPr>
            <w:tcW w:w="1666" w:type="pct"/>
          </w:tcPr>
          <w:p w14:paraId="6D09872F" w14:textId="77777777" w:rsidR="00C513C4" w:rsidRPr="00C03A42" w:rsidRDefault="00C513C4" w:rsidP="001C3CEF">
            <w:pPr>
              <w:rPr>
                <w:sz w:val="22"/>
                <w:szCs w:val="22"/>
              </w:rPr>
            </w:pPr>
            <w:r w:rsidRPr="00C03A42">
              <w:rPr>
                <w:sz w:val="22"/>
                <w:szCs w:val="22"/>
              </w:rPr>
              <w:t>7.668</w:t>
            </w:r>
          </w:p>
        </w:tc>
      </w:tr>
      <w:tr w:rsidR="0057717A" w14:paraId="5D5009DF" w14:textId="77777777" w:rsidTr="001C3CEF">
        <w:tc>
          <w:tcPr>
            <w:tcW w:w="780" w:type="pct"/>
          </w:tcPr>
          <w:p w14:paraId="47448944" w14:textId="77777777" w:rsidR="00C513C4" w:rsidRPr="00C03A42" w:rsidRDefault="00C513C4" w:rsidP="001C3CEF">
            <w:pPr>
              <w:rPr>
                <w:sz w:val="22"/>
                <w:szCs w:val="22"/>
              </w:rPr>
            </w:pPr>
            <w:r w:rsidRPr="00C03A42">
              <w:rPr>
                <w:sz w:val="22"/>
                <w:szCs w:val="22"/>
              </w:rPr>
              <w:t>Scope 3</w:t>
            </w:r>
          </w:p>
        </w:tc>
        <w:tc>
          <w:tcPr>
            <w:tcW w:w="2554" w:type="pct"/>
          </w:tcPr>
          <w:p w14:paraId="2B52D7DC" w14:textId="77777777" w:rsidR="00C513C4" w:rsidRPr="00C03A42" w:rsidRDefault="00C513C4" w:rsidP="001C3CEF">
            <w:pPr>
              <w:rPr>
                <w:sz w:val="22"/>
                <w:szCs w:val="22"/>
              </w:rPr>
            </w:pPr>
            <w:r w:rsidRPr="00C03A42">
              <w:rPr>
                <w:sz w:val="22"/>
                <w:szCs w:val="22"/>
              </w:rPr>
              <w:t xml:space="preserve">Water supply </w:t>
            </w:r>
          </w:p>
        </w:tc>
        <w:tc>
          <w:tcPr>
            <w:tcW w:w="1666" w:type="pct"/>
          </w:tcPr>
          <w:p w14:paraId="242FEAD1" w14:textId="77777777" w:rsidR="00C513C4" w:rsidRPr="00C03A42" w:rsidRDefault="00C513C4" w:rsidP="001C3CEF">
            <w:pPr>
              <w:rPr>
                <w:sz w:val="22"/>
                <w:szCs w:val="22"/>
              </w:rPr>
            </w:pPr>
            <w:r w:rsidRPr="00C03A42">
              <w:rPr>
                <w:sz w:val="22"/>
                <w:szCs w:val="22"/>
              </w:rPr>
              <w:t>4.2</w:t>
            </w:r>
          </w:p>
        </w:tc>
      </w:tr>
      <w:tr w:rsidR="00C513C4" w14:paraId="24C08E0B" w14:textId="77777777" w:rsidTr="001C3CEF">
        <w:tc>
          <w:tcPr>
            <w:tcW w:w="780" w:type="pct"/>
          </w:tcPr>
          <w:p w14:paraId="6297A7D2" w14:textId="77777777" w:rsidR="00C513C4" w:rsidRPr="00C03A42" w:rsidRDefault="00C513C4" w:rsidP="001C3CEF">
            <w:pPr>
              <w:rPr>
                <w:sz w:val="22"/>
                <w:szCs w:val="22"/>
              </w:rPr>
            </w:pPr>
            <w:r w:rsidRPr="00C03A42">
              <w:rPr>
                <w:sz w:val="22"/>
                <w:szCs w:val="22"/>
              </w:rPr>
              <w:t>Scope 3</w:t>
            </w:r>
          </w:p>
        </w:tc>
        <w:tc>
          <w:tcPr>
            <w:tcW w:w="2554" w:type="pct"/>
          </w:tcPr>
          <w:p w14:paraId="6F0E0E22" w14:textId="77777777" w:rsidR="00C513C4" w:rsidRPr="00C03A42" w:rsidRDefault="00C513C4" w:rsidP="001C3CEF">
            <w:pPr>
              <w:rPr>
                <w:sz w:val="22"/>
                <w:szCs w:val="22"/>
              </w:rPr>
            </w:pPr>
            <w:r w:rsidRPr="00C03A42">
              <w:rPr>
                <w:sz w:val="22"/>
                <w:szCs w:val="22"/>
              </w:rPr>
              <w:t xml:space="preserve">Waste </w:t>
            </w:r>
          </w:p>
        </w:tc>
        <w:tc>
          <w:tcPr>
            <w:tcW w:w="1666" w:type="pct"/>
          </w:tcPr>
          <w:p w14:paraId="09412F4F" w14:textId="77777777" w:rsidR="00C513C4" w:rsidRPr="00C03A42" w:rsidRDefault="00C513C4" w:rsidP="001C3CEF">
            <w:pPr>
              <w:rPr>
                <w:sz w:val="22"/>
                <w:szCs w:val="22"/>
              </w:rPr>
            </w:pPr>
            <w:r w:rsidRPr="00C03A42">
              <w:rPr>
                <w:sz w:val="22"/>
                <w:szCs w:val="22"/>
              </w:rPr>
              <w:t>3.221</w:t>
            </w:r>
          </w:p>
        </w:tc>
      </w:tr>
      <w:tr w:rsidR="00C513C4" w14:paraId="5A07CAE6" w14:textId="77777777" w:rsidTr="001C3CEF">
        <w:tc>
          <w:tcPr>
            <w:tcW w:w="780" w:type="pct"/>
          </w:tcPr>
          <w:p w14:paraId="0A15F326" w14:textId="77777777" w:rsidR="00C513C4" w:rsidRPr="00C03A42" w:rsidRDefault="00C513C4" w:rsidP="001C3CEF">
            <w:pPr>
              <w:rPr>
                <w:sz w:val="22"/>
                <w:szCs w:val="22"/>
              </w:rPr>
            </w:pPr>
            <w:r w:rsidRPr="00C03A42">
              <w:rPr>
                <w:sz w:val="22"/>
                <w:szCs w:val="22"/>
              </w:rPr>
              <w:t>Scope 3</w:t>
            </w:r>
          </w:p>
        </w:tc>
        <w:tc>
          <w:tcPr>
            <w:tcW w:w="2554" w:type="pct"/>
          </w:tcPr>
          <w:p w14:paraId="071DA04C" w14:textId="77777777" w:rsidR="00C513C4" w:rsidRPr="00C03A42" w:rsidRDefault="00C513C4" w:rsidP="001C3CEF">
            <w:pPr>
              <w:rPr>
                <w:sz w:val="22"/>
                <w:szCs w:val="22"/>
              </w:rPr>
            </w:pPr>
            <w:r w:rsidRPr="00C03A42">
              <w:rPr>
                <w:sz w:val="22"/>
                <w:szCs w:val="22"/>
              </w:rPr>
              <w:t xml:space="preserve">Business travel </w:t>
            </w:r>
          </w:p>
        </w:tc>
        <w:tc>
          <w:tcPr>
            <w:tcW w:w="1666" w:type="pct"/>
          </w:tcPr>
          <w:p w14:paraId="169B2C86" w14:textId="77777777" w:rsidR="00C513C4" w:rsidRPr="00C03A42" w:rsidRDefault="00C513C4" w:rsidP="001C3CEF">
            <w:pPr>
              <w:rPr>
                <w:sz w:val="22"/>
                <w:szCs w:val="22"/>
              </w:rPr>
            </w:pPr>
            <w:r w:rsidRPr="00C03A42">
              <w:rPr>
                <w:sz w:val="22"/>
                <w:szCs w:val="22"/>
              </w:rPr>
              <w:t>104</w:t>
            </w:r>
          </w:p>
        </w:tc>
      </w:tr>
      <w:tr w:rsidR="0057717A" w14:paraId="6E26226F" w14:textId="77777777" w:rsidTr="001C3CEF">
        <w:tc>
          <w:tcPr>
            <w:tcW w:w="780" w:type="pct"/>
          </w:tcPr>
          <w:p w14:paraId="77FFB890" w14:textId="77777777" w:rsidR="00C513C4" w:rsidRPr="00C03A42" w:rsidRDefault="00C513C4" w:rsidP="001C3CEF">
            <w:pPr>
              <w:rPr>
                <w:sz w:val="22"/>
                <w:szCs w:val="22"/>
              </w:rPr>
            </w:pPr>
            <w:r w:rsidRPr="00C03A42">
              <w:rPr>
                <w:sz w:val="22"/>
                <w:szCs w:val="22"/>
              </w:rPr>
              <w:t>Scope 3</w:t>
            </w:r>
          </w:p>
        </w:tc>
        <w:tc>
          <w:tcPr>
            <w:tcW w:w="2554" w:type="pct"/>
          </w:tcPr>
          <w:p w14:paraId="28585271" w14:textId="77777777" w:rsidR="00C513C4" w:rsidRPr="00C03A42" w:rsidRDefault="00C513C4" w:rsidP="001C3CEF">
            <w:pPr>
              <w:rPr>
                <w:sz w:val="22"/>
                <w:szCs w:val="22"/>
              </w:rPr>
            </w:pPr>
            <w:r w:rsidRPr="00C03A42">
              <w:rPr>
                <w:sz w:val="22"/>
                <w:szCs w:val="22"/>
              </w:rPr>
              <w:t>Employee commuting</w:t>
            </w:r>
          </w:p>
        </w:tc>
        <w:tc>
          <w:tcPr>
            <w:tcW w:w="1666" w:type="pct"/>
          </w:tcPr>
          <w:p w14:paraId="5F5F82B4" w14:textId="77777777" w:rsidR="00C513C4" w:rsidRPr="00C03A42" w:rsidRDefault="00C513C4" w:rsidP="001C3CEF">
            <w:pPr>
              <w:rPr>
                <w:sz w:val="22"/>
                <w:szCs w:val="22"/>
              </w:rPr>
            </w:pPr>
            <w:r w:rsidRPr="00C03A42">
              <w:rPr>
                <w:sz w:val="22"/>
                <w:szCs w:val="22"/>
              </w:rPr>
              <w:t>3166*</w:t>
            </w:r>
          </w:p>
        </w:tc>
      </w:tr>
      <w:tr w:rsidR="0057717A" w14:paraId="6BAC582E" w14:textId="77777777" w:rsidTr="001C3CEF">
        <w:tc>
          <w:tcPr>
            <w:tcW w:w="780" w:type="pct"/>
          </w:tcPr>
          <w:p w14:paraId="4803DD82" w14:textId="77777777" w:rsidR="00C513C4" w:rsidRPr="00C03A42" w:rsidRDefault="00C513C4" w:rsidP="001C3CEF">
            <w:pPr>
              <w:rPr>
                <w:sz w:val="22"/>
                <w:szCs w:val="22"/>
              </w:rPr>
            </w:pPr>
            <w:r w:rsidRPr="00C03A42">
              <w:rPr>
                <w:sz w:val="22"/>
                <w:szCs w:val="22"/>
              </w:rPr>
              <w:t>Scope 3</w:t>
            </w:r>
          </w:p>
        </w:tc>
        <w:tc>
          <w:tcPr>
            <w:tcW w:w="2554" w:type="pct"/>
          </w:tcPr>
          <w:p w14:paraId="57558E54" w14:textId="77777777" w:rsidR="00C513C4" w:rsidRPr="00C03A42" w:rsidRDefault="00C513C4" w:rsidP="001C3CEF">
            <w:pPr>
              <w:rPr>
                <w:sz w:val="22"/>
                <w:szCs w:val="22"/>
              </w:rPr>
            </w:pPr>
            <w:r w:rsidRPr="00C03A42">
              <w:rPr>
                <w:sz w:val="22"/>
                <w:szCs w:val="22"/>
              </w:rPr>
              <w:t>Downstream transportation (Student travel – commuting and international relocation)</w:t>
            </w:r>
          </w:p>
        </w:tc>
        <w:tc>
          <w:tcPr>
            <w:tcW w:w="1666" w:type="pct"/>
          </w:tcPr>
          <w:p w14:paraId="08421F03" w14:textId="77777777" w:rsidR="00C513C4" w:rsidRPr="00C03A42" w:rsidRDefault="00C513C4" w:rsidP="001C3CEF">
            <w:pPr>
              <w:rPr>
                <w:sz w:val="22"/>
                <w:szCs w:val="22"/>
              </w:rPr>
            </w:pPr>
            <w:r w:rsidRPr="00C03A42">
              <w:rPr>
                <w:sz w:val="22"/>
                <w:szCs w:val="22"/>
              </w:rPr>
              <w:t>7602*</w:t>
            </w:r>
          </w:p>
        </w:tc>
      </w:tr>
      <w:tr w:rsidR="00C513C4" w14:paraId="53F97B40" w14:textId="77777777" w:rsidTr="001C3CEF">
        <w:tc>
          <w:tcPr>
            <w:tcW w:w="780" w:type="pct"/>
          </w:tcPr>
          <w:p w14:paraId="4DBFCF5A" w14:textId="77777777" w:rsidR="00C513C4" w:rsidRPr="00B21F89" w:rsidRDefault="00C513C4" w:rsidP="001C3CEF">
            <w:pPr>
              <w:jc w:val="right"/>
              <w:rPr>
                <w:b/>
                <w:bCs/>
              </w:rPr>
            </w:pPr>
          </w:p>
        </w:tc>
        <w:tc>
          <w:tcPr>
            <w:tcW w:w="2554" w:type="pct"/>
          </w:tcPr>
          <w:p w14:paraId="5282863D" w14:textId="77777777" w:rsidR="00C513C4" w:rsidRPr="00B21F89" w:rsidRDefault="00C513C4" w:rsidP="001C3CEF">
            <w:pPr>
              <w:rPr>
                <w:b/>
                <w:bCs/>
                <w:sz w:val="22"/>
                <w:szCs w:val="22"/>
              </w:rPr>
            </w:pPr>
            <w:r w:rsidRPr="00B21F89">
              <w:rPr>
                <w:b/>
                <w:bCs/>
                <w:sz w:val="22"/>
                <w:szCs w:val="22"/>
              </w:rPr>
              <w:t xml:space="preserve">Total </w:t>
            </w:r>
          </w:p>
        </w:tc>
        <w:tc>
          <w:tcPr>
            <w:tcW w:w="1666" w:type="pct"/>
          </w:tcPr>
          <w:p w14:paraId="7464A421" w14:textId="77777777" w:rsidR="00C513C4" w:rsidRPr="00B21F89" w:rsidRDefault="00C513C4" w:rsidP="001C3CEF">
            <w:pPr>
              <w:rPr>
                <w:b/>
                <w:bCs/>
                <w:sz w:val="22"/>
                <w:szCs w:val="22"/>
              </w:rPr>
            </w:pPr>
            <w:r>
              <w:rPr>
                <w:b/>
                <w:bCs/>
                <w:sz w:val="22"/>
                <w:szCs w:val="22"/>
              </w:rPr>
              <w:t>12,824.95</w:t>
            </w:r>
          </w:p>
        </w:tc>
      </w:tr>
    </w:tbl>
    <w:p w14:paraId="24FA2A6E" w14:textId="77777777" w:rsidR="00C513C4" w:rsidRDefault="00C513C4" w:rsidP="00C513C4">
      <w:pPr>
        <w:spacing w:after="220" w:line="259" w:lineRule="auto"/>
        <w:ind w:left="720" w:hanging="720"/>
      </w:pPr>
    </w:p>
    <w:p w14:paraId="2C3A922F" w14:textId="77777777" w:rsidR="00C513C4" w:rsidRDefault="00C513C4" w:rsidP="00A36BCF">
      <w:pPr>
        <w:spacing w:after="220" w:line="259" w:lineRule="auto"/>
        <w:ind w:left="720" w:hanging="720"/>
        <w:jc w:val="both"/>
      </w:pPr>
      <w:r>
        <w:t>* Estimate calculated from survey data</w:t>
      </w:r>
    </w:p>
    <w:p w14:paraId="5E06CED8" w14:textId="77777777" w:rsidR="00C513C4" w:rsidRDefault="00C513C4" w:rsidP="00A36BCF">
      <w:pPr>
        <w:spacing w:after="220" w:line="259" w:lineRule="auto"/>
        <w:ind w:left="720" w:hanging="720"/>
        <w:jc w:val="both"/>
      </w:pPr>
      <w:r>
        <w:t>3.3</w:t>
      </w:r>
      <w:r>
        <w:tab/>
        <w:t>Work is currently underway to calculate emissions associated with our purchased goods and services, and capital goods expenditure, so that this can also be incorporated into our emissions baseline.</w:t>
      </w:r>
    </w:p>
    <w:p w14:paraId="463A1008" w14:textId="54C0E77C" w:rsidR="00C513C4" w:rsidRDefault="00C513C4" w:rsidP="00A36BCF">
      <w:pPr>
        <w:spacing w:after="220" w:line="259" w:lineRule="auto"/>
        <w:jc w:val="both"/>
        <w:rPr>
          <w:b/>
        </w:rPr>
      </w:pPr>
      <w:r>
        <w:rPr>
          <w:b/>
        </w:rPr>
        <w:t>4</w:t>
      </w:r>
      <w:r>
        <w:rPr>
          <w:b/>
        </w:rPr>
        <w:tab/>
        <w:t>Carbon reduction</w:t>
      </w:r>
      <w:r w:rsidRPr="001F42CC">
        <w:rPr>
          <w:b/>
        </w:rPr>
        <w:t xml:space="preserve"> </w:t>
      </w:r>
      <w:r>
        <w:rPr>
          <w:b/>
        </w:rPr>
        <w:t>o</w:t>
      </w:r>
      <w:r w:rsidRPr="001F42CC">
        <w:rPr>
          <w:b/>
        </w:rPr>
        <w:t>bjectives</w:t>
      </w:r>
    </w:p>
    <w:p w14:paraId="3C85DB66" w14:textId="13991F43" w:rsidR="00C513C4" w:rsidRDefault="00C513C4" w:rsidP="00A36BCF">
      <w:pPr>
        <w:spacing w:after="220" w:line="259" w:lineRule="auto"/>
        <w:ind w:left="720" w:hanging="720"/>
        <w:jc w:val="both"/>
      </w:pPr>
      <w:r>
        <w:t>4.1</w:t>
      </w:r>
      <w:r>
        <w:tab/>
        <w:t xml:space="preserve">UWL is committed to becoming a net zero carbon institution by 2030. This is for all Scopes 1, 2 and 3 carbon emissions, and will be achieved by reducing our Scope 1 and 2 emissions by </w:t>
      </w:r>
      <w:r w:rsidR="009848FE">
        <w:t>at least</w:t>
      </w:r>
      <w:r>
        <w:t xml:space="preserve"> 90% by 2030.</w:t>
      </w:r>
    </w:p>
    <w:p w14:paraId="763E9F62" w14:textId="77777777" w:rsidR="00C513C4" w:rsidRDefault="00C513C4" w:rsidP="00A36BCF">
      <w:pPr>
        <w:spacing w:after="220" w:line="259" w:lineRule="auto"/>
        <w:ind w:left="720" w:hanging="720"/>
        <w:jc w:val="both"/>
      </w:pPr>
      <w:r>
        <w:t>4</w:t>
      </w:r>
      <w:r w:rsidRPr="00001A4C">
        <w:t>.</w:t>
      </w:r>
      <w:r>
        <w:t>2</w:t>
      </w:r>
      <w:r w:rsidRPr="00001A4C">
        <w:tab/>
      </w:r>
      <w:r>
        <w:t>The University has</w:t>
      </w:r>
      <w:r w:rsidRPr="00001A4C">
        <w:t xml:space="preserve"> established Specific, Measurable, Achievable, Relevant and Time-bound (SMART) </w:t>
      </w:r>
      <w:r>
        <w:t>carbon reduction</w:t>
      </w:r>
      <w:r w:rsidRPr="00001A4C">
        <w:t xml:space="preserve"> objectives. The </w:t>
      </w:r>
      <w:r>
        <w:t>SMART objectives can be found in</w:t>
      </w:r>
      <w:r w:rsidRPr="00001A4C">
        <w:t xml:space="preserve"> </w:t>
      </w:r>
      <w:r>
        <w:t>Appendix 1</w:t>
      </w:r>
      <w:r w:rsidRPr="00001A4C">
        <w:t xml:space="preserve">.  </w:t>
      </w:r>
    </w:p>
    <w:p w14:paraId="5B756FCE" w14:textId="77777777" w:rsidR="00C513C4" w:rsidRDefault="00C513C4" w:rsidP="00A36BCF">
      <w:pPr>
        <w:spacing w:after="220" w:line="259" w:lineRule="auto"/>
        <w:ind w:left="720" w:hanging="720"/>
        <w:jc w:val="both"/>
      </w:pPr>
      <w:r>
        <w:t>4.3</w:t>
      </w:r>
      <w:r>
        <w:tab/>
      </w:r>
      <w:r w:rsidRPr="00AC5880">
        <w:t xml:space="preserve">External funding for </w:t>
      </w:r>
      <w:r>
        <w:t>carbon reduction</w:t>
      </w:r>
      <w:r w:rsidRPr="00AC5880">
        <w:t xml:space="preserve"> projects is actively sought by the University. </w:t>
      </w:r>
      <w:r>
        <w:t xml:space="preserve">UWL spends approximately £1m annually on </w:t>
      </w:r>
      <w:r w:rsidRPr="00AC5880">
        <w:t xml:space="preserve">projects that improve estate infrastructure, student experience, and </w:t>
      </w:r>
      <w:r>
        <w:t>carbon</w:t>
      </w:r>
      <w:r w:rsidRPr="00AC5880">
        <w:t xml:space="preserve"> performance.</w:t>
      </w:r>
    </w:p>
    <w:p w14:paraId="434F1FC2" w14:textId="77777777" w:rsidR="00C513C4" w:rsidRDefault="00C513C4" w:rsidP="00A36BCF">
      <w:pPr>
        <w:spacing w:after="220" w:line="259" w:lineRule="auto"/>
        <w:ind w:left="720" w:hanging="720"/>
        <w:jc w:val="both"/>
      </w:pPr>
    </w:p>
    <w:p w14:paraId="4D821ADC" w14:textId="077D64FB" w:rsidR="00C513C4" w:rsidRDefault="00C513C4" w:rsidP="00A36BCF">
      <w:pPr>
        <w:spacing w:after="220" w:line="259" w:lineRule="auto"/>
        <w:jc w:val="both"/>
        <w:rPr>
          <w:b/>
        </w:rPr>
      </w:pPr>
      <w:r>
        <w:rPr>
          <w:b/>
        </w:rPr>
        <w:t>5</w:t>
      </w:r>
      <w:r>
        <w:rPr>
          <w:b/>
        </w:rPr>
        <w:tab/>
        <w:t>Monitoring and reporting</w:t>
      </w:r>
    </w:p>
    <w:p w14:paraId="134D4B68" w14:textId="77777777" w:rsidR="00C513C4" w:rsidRDefault="00C513C4" w:rsidP="00A36BCF">
      <w:pPr>
        <w:spacing w:after="220" w:line="259" w:lineRule="auto"/>
        <w:ind w:left="720" w:hanging="720"/>
        <w:jc w:val="both"/>
        <w:rPr>
          <w:bCs/>
        </w:rPr>
      </w:pPr>
      <w:r>
        <w:rPr>
          <w:bCs/>
        </w:rPr>
        <w:t>5</w:t>
      </w:r>
      <w:r w:rsidRPr="00F2526A">
        <w:rPr>
          <w:bCs/>
        </w:rPr>
        <w:t>.1</w:t>
      </w:r>
      <w:r w:rsidRPr="00F2526A">
        <w:rPr>
          <w:bCs/>
        </w:rPr>
        <w:tab/>
      </w:r>
      <w:r>
        <w:rPr>
          <w:bCs/>
        </w:rPr>
        <w:t>Carbon management is overseen by the Environmental Operations Group (EOG), chaired by a member of the Vice Chancellor’s Executive (VCE). The Group is responsible for the delivery of the University’s net zero carbon by 2030 target. It is the role of the EOG to report to the VCE on progress.</w:t>
      </w:r>
    </w:p>
    <w:p w14:paraId="17529453" w14:textId="77777777" w:rsidR="00C513C4" w:rsidRPr="00F2526A" w:rsidRDefault="00C513C4" w:rsidP="00A36BCF">
      <w:pPr>
        <w:spacing w:after="220" w:line="259" w:lineRule="auto"/>
        <w:ind w:left="720" w:hanging="720"/>
        <w:jc w:val="both"/>
        <w:rPr>
          <w:bCs/>
        </w:rPr>
      </w:pPr>
      <w:r>
        <w:rPr>
          <w:bCs/>
        </w:rPr>
        <w:t>5.2</w:t>
      </w:r>
      <w:r>
        <w:rPr>
          <w:bCs/>
        </w:rPr>
        <w:tab/>
        <w:t xml:space="preserve">The University utilises its ISO 14001 certified Environmental Management System (EMS) as a tool for monitoring environmental impact including carbon emissions. Annual progress reports detailing the University’s achievements, challenges, and areas for improvement are reviewed by the VCE. The progress </w:t>
      </w:r>
      <w:r>
        <w:rPr>
          <w:bCs/>
        </w:rPr>
        <w:lastRenderedPageBreak/>
        <w:t>report includes data on emissions, energy, waste, water and travel and other relevant milestones.</w:t>
      </w:r>
    </w:p>
    <w:p w14:paraId="5610E8D3" w14:textId="77777777" w:rsidR="00C513C4" w:rsidRDefault="00C513C4" w:rsidP="00A36BCF">
      <w:pPr>
        <w:spacing w:after="220" w:line="259" w:lineRule="auto"/>
        <w:ind w:left="720" w:hanging="720"/>
        <w:jc w:val="both"/>
        <w:rPr>
          <w:bCs/>
        </w:rPr>
      </w:pPr>
      <w:r>
        <w:rPr>
          <w:bCs/>
        </w:rPr>
        <w:t>5</w:t>
      </w:r>
      <w:r w:rsidRPr="00F2526A">
        <w:rPr>
          <w:bCs/>
        </w:rPr>
        <w:t>.</w:t>
      </w:r>
      <w:r>
        <w:rPr>
          <w:bCs/>
        </w:rPr>
        <w:t>3</w:t>
      </w:r>
      <w:r w:rsidRPr="00F2526A">
        <w:rPr>
          <w:bCs/>
        </w:rPr>
        <w:tab/>
        <w:t xml:space="preserve">Progress towards achieving identified objectives </w:t>
      </w:r>
      <w:r>
        <w:rPr>
          <w:bCs/>
        </w:rPr>
        <w:t>is</w:t>
      </w:r>
      <w:r w:rsidRPr="00F2526A">
        <w:rPr>
          <w:bCs/>
        </w:rPr>
        <w:t xml:space="preserve"> communicated to all staff and students through the</w:t>
      </w:r>
      <w:r>
        <w:rPr>
          <w:bCs/>
        </w:rPr>
        <w:t xml:space="preserve"> EOG and</w:t>
      </w:r>
      <w:r w:rsidRPr="00F2526A">
        <w:rPr>
          <w:bCs/>
        </w:rPr>
        <w:t xml:space="preserve"> </w:t>
      </w:r>
      <w:r>
        <w:rPr>
          <w:bCs/>
        </w:rPr>
        <w:t xml:space="preserve">Sustainability Management Board (SMB), the Insider Magazine and its Annual Sustainability Report which can be found </w:t>
      </w:r>
      <w:r>
        <w:t>on the external website</w:t>
      </w:r>
      <w:r>
        <w:rPr>
          <w:rStyle w:val="FootnoteReference"/>
        </w:rPr>
        <w:footnoteReference w:id="2"/>
      </w:r>
      <w:r>
        <w:rPr>
          <w:bCs/>
        </w:rPr>
        <w:t xml:space="preserve">. </w:t>
      </w:r>
      <w:r w:rsidRPr="00F2526A">
        <w:rPr>
          <w:bCs/>
        </w:rPr>
        <w:t xml:space="preserve"> </w:t>
      </w:r>
    </w:p>
    <w:p w14:paraId="61C0DB17" w14:textId="77777777" w:rsidR="00C513C4" w:rsidRDefault="00C513C4" w:rsidP="00A36BCF">
      <w:pPr>
        <w:spacing w:after="220" w:line="259" w:lineRule="auto"/>
        <w:ind w:left="720" w:hanging="720"/>
        <w:jc w:val="both"/>
        <w:rPr>
          <w:bCs/>
        </w:rPr>
      </w:pPr>
      <w:r>
        <w:t>5.4</w:t>
      </w:r>
      <w:r w:rsidRPr="00DC447D">
        <w:tab/>
      </w:r>
      <w:r>
        <w:t>UWL’s carbon reduction performance can also be reviewed by the public at no additional cost through third-party sources</w:t>
      </w:r>
      <w:r>
        <w:rPr>
          <w:bCs/>
        </w:rPr>
        <w:t xml:space="preserve"> such as the Higher Education Statistics Agency </w:t>
      </w:r>
      <w:r w:rsidRPr="00F2526A">
        <w:rPr>
          <w:bCs/>
        </w:rPr>
        <w:t>and People &amp; Planet University League table</w:t>
      </w:r>
      <w:r w:rsidRPr="00DC447D">
        <w:t xml:space="preserve">. </w:t>
      </w:r>
    </w:p>
    <w:p w14:paraId="3EA1E589" w14:textId="77777777" w:rsidR="00C513C4" w:rsidRDefault="00C513C4" w:rsidP="00A36BCF">
      <w:pPr>
        <w:spacing w:after="220" w:line="259" w:lineRule="auto"/>
        <w:ind w:left="720" w:hanging="720"/>
        <w:jc w:val="both"/>
      </w:pPr>
    </w:p>
    <w:p w14:paraId="63EF8CFD" w14:textId="77777777" w:rsidR="00C513C4" w:rsidRDefault="00C513C4" w:rsidP="00C513C4">
      <w:pPr>
        <w:spacing w:after="220" w:line="259" w:lineRule="auto"/>
        <w:ind w:left="720" w:hanging="720"/>
        <w:sectPr w:rsidR="00C513C4" w:rsidSect="0057717A">
          <w:headerReference w:type="default" r:id="rId13"/>
          <w:pgSz w:w="11906" w:h="16838"/>
          <w:pgMar w:top="1440" w:right="1440" w:bottom="403" w:left="1440" w:header="720" w:footer="720" w:gutter="0"/>
          <w:cols w:space="720"/>
          <w:docGrid w:linePitch="299"/>
        </w:sectPr>
      </w:pPr>
    </w:p>
    <w:p w14:paraId="7800A60A" w14:textId="77777777" w:rsidR="00C513C4" w:rsidRPr="00D4725A" w:rsidRDefault="00C513C4" w:rsidP="00C513C4">
      <w:pPr>
        <w:rPr>
          <w:b/>
          <w:bCs/>
        </w:rPr>
      </w:pPr>
      <w:r w:rsidRPr="00D4725A">
        <w:rPr>
          <w:b/>
          <w:bCs/>
        </w:rPr>
        <w:lastRenderedPageBreak/>
        <w:t xml:space="preserve">Appendix 1: </w:t>
      </w:r>
      <w:r>
        <w:rPr>
          <w:b/>
          <w:bCs/>
        </w:rPr>
        <w:t>Carbon reduction o</w:t>
      </w:r>
      <w:r w:rsidRPr="00D4725A">
        <w:rPr>
          <w:b/>
          <w:bCs/>
        </w:rPr>
        <w:t>bjectives</w:t>
      </w:r>
    </w:p>
    <w:p w14:paraId="4BEECF8F" w14:textId="77777777" w:rsidR="00C513C4" w:rsidRDefault="00C513C4" w:rsidP="00C513C4"/>
    <w:tbl>
      <w:tblPr>
        <w:tblStyle w:val="TableGrid"/>
        <w:tblW w:w="5357" w:type="pct"/>
        <w:tblInd w:w="-43" w:type="dxa"/>
        <w:tblLook w:val="04A0" w:firstRow="1" w:lastRow="0" w:firstColumn="1" w:lastColumn="0" w:noHBand="0" w:noVBand="1"/>
      </w:tblPr>
      <w:tblGrid>
        <w:gridCol w:w="1697"/>
        <w:gridCol w:w="1777"/>
        <w:gridCol w:w="1944"/>
        <w:gridCol w:w="2085"/>
        <w:gridCol w:w="1944"/>
        <w:gridCol w:w="2088"/>
        <w:gridCol w:w="2239"/>
        <w:gridCol w:w="2281"/>
      </w:tblGrid>
      <w:tr w:rsidR="00AF0BEB" w14:paraId="1C81539B" w14:textId="77777777" w:rsidTr="00686CA2">
        <w:trPr>
          <w:trHeight w:val="401"/>
        </w:trPr>
        <w:tc>
          <w:tcPr>
            <w:tcW w:w="288" w:type="pct"/>
            <w:shd w:val="clear" w:color="auto" w:fill="B6DDE8" w:themeFill="accent5" w:themeFillTint="66"/>
            <w:vAlign w:val="center"/>
          </w:tcPr>
          <w:p w14:paraId="239D7997" w14:textId="77777777" w:rsidR="00C513C4" w:rsidRPr="00C95768" w:rsidRDefault="00C513C4" w:rsidP="001C3CEF">
            <w:pPr>
              <w:jc w:val="center"/>
              <w:rPr>
                <w:b/>
              </w:rPr>
            </w:pPr>
            <w:r w:rsidRPr="00C95768">
              <w:rPr>
                <w:b/>
              </w:rPr>
              <w:t>Area</w:t>
            </w:r>
          </w:p>
        </w:tc>
        <w:tc>
          <w:tcPr>
            <w:tcW w:w="586" w:type="pct"/>
            <w:shd w:val="clear" w:color="auto" w:fill="B6DDE8" w:themeFill="accent5" w:themeFillTint="66"/>
            <w:vAlign w:val="center"/>
          </w:tcPr>
          <w:p w14:paraId="6B4E6B1F" w14:textId="77777777" w:rsidR="00C513C4" w:rsidRPr="00C95768" w:rsidRDefault="00C513C4" w:rsidP="001C3CEF">
            <w:pPr>
              <w:jc w:val="center"/>
              <w:rPr>
                <w:b/>
              </w:rPr>
            </w:pPr>
            <w:r w:rsidRPr="00C95768">
              <w:rPr>
                <w:b/>
              </w:rPr>
              <w:t>Objective</w:t>
            </w:r>
          </w:p>
        </w:tc>
        <w:tc>
          <w:tcPr>
            <w:tcW w:w="638" w:type="pct"/>
            <w:shd w:val="clear" w:color="auto" w:fill="B6DDE8" w:themeFill="accent5" w:themeFillTint="66"/>
            <w:vAlign w:val="center"/>
          </w:tcPr>
          <w:p w14:paraId="3A70793A" w14:textId="77777777" w:rsidR="00C513C4" w:rsidRPr="00C95768" w:rsidRDefault="00C513C4" w:rsidP="001C3CEF">
            <w:pPr>
              <w:jc w:val="center"/>
              <w:rPr>
                <w:b/>
              </w:rPr>
            </w:pPr>
            <w:r w:rsidRPr="00C95768">
              <w:rPr>
                <w:b/>
              </w:rPr>
              <w:t>Specific</w:t>
            </w:r>
          </w:p>
        </w:tc>
        <w:tc>
          <w:tcPr>
            <w:tcW w:w="682" w:type="pct"/>
            <w:shd w:val="clear" w:color="auto" w:fill="B6DDE8" w:themeFill="accent5" w:themeFillTint="66"/>
            <w:vAlign w:val="center"/>
          </w:tcPr>
          <w:p w14:paraId="07E76E61" w14:textId="77777777" w:rsidR="00C513C4" w:rsidRPr="00C95768" w:rsidRDefault="00C513C4" w:rsidP="001C3CEF">
            <w:pPr>
              <w:jc w:val="center"/>
              <w:rPr>
                <w:b/>
              </w:rPr>
            </w:pPr>
            <w:r w:rsidRPr="00C95768">
              <w:rPr>
                <w:b/>
              </w:rPr>
              <w:t>Measurable</w:t>
            </w:r>
          </w:p>
        </w:tc>
        <w:tc>
          <w:tcPr>
            <w:tcW w:w="638" w:type="pct"/>
            <w:shd w:val="clear" w:color="auto" w:fill="B6DDE8" w:themeFill="accent5" w:themeFillTint="66"/>
            <w:vAlign w:val="center"/>
          </w:tcPr>
          <w:p w14:paraId="54823D94" w14:textId="78B70880" w:rsidR="00C513C4" w:rsidRPr="00C95768" w:rsidRDefault="008B1658" w:rsidP="001C3CEF">
            <w:pPr>
              <w:jc w:val="center"/>
              <w:rPr>
                <w:b/>
              </w:rPr>
            </w:pPr>
            <w:r w:rsidRPr="00C95768">
              <w:rPr>
                <w:b/>
              </w:rPr>
              <w:t>Achievable</w:t>
            </w:r>
          </w:p>
        </w:tc>
        <w:tc>
          <w:tcPr>
            <w:tcW w:w="683" w:type="pct"/>
            <w:shd w:val="clear" w:color="auto" w:fill="B6DDE8" w:themeFill="accent5" w:themeFillTint="66"/>
            <w:vAlign w:val="center"/>
          </w:tcPr>
          <w:p w14:paraId="23813567" w14:textId="77777777" w:rsidR="00C513C4" w:rsidRPr="00C95768" w:rsidRDefault="00C513C4" w:rsidP="001C3CEF">
            <w:pPr>
              <w:jc w:val="center"/>
              <w:rPr>
                <w:b/>
              </w:rPr>
            </w:pPr>
            <w:r w:rsidRPr="00C95768">
              <w:rPr>
                <w:b/>
              </w:rPr>
              <w:t>Relevant</w:t>
            </w:r>
          </w:p>
        </w:tc>
        <w:tc>
          <w:tcPr>
            <w:tcW w:w="730" w:type="pct"/>
            <w:shd w:val="clear" w:color="auto" w:fill="B6DDE8" w:themeFill="accent5" w:themeFillTint="66"/>
            <w:vAlign w:val="center"/>
          </w:tcPr>
          <w:p w14:paraId="2EEA73B4" w14:textId="77777777" w:rsidR="00C513C4" w:rsidRPr="00C95768" w:rsidRDefault="00C513C4" w:rsidP="001C3CEF">
            <w:pPr>
              <w:jc w:val="center"/>
              <w:rPr>
                <w:b/>
              </w:rPr>
            </w:pPr>
            <w:r w:rsidRPr="00C95768">
              <w:rPr>
                <w:b/>
              </w:rPr>
              <w:t>Time-Bound</w:t>
            </w:r>
          </w:p>
        </w:tc>
        <w:tc>
          <w:tcPr>
            <w:tcW w:w="744" w:type="pct"/>
            <w:shd w:val="clear" w:color="auto" w:fill="B6DDE8" w:themeFill="accent5" w:themeFillTint="66"/>
            <w:vAlign w:val="center"/>
          </w:tcPr>
          <w:p w14:paraId="73659E93" w14:textId="77777777" w:rsidR="00C513C4" w:rsidRPr="00C95768" w:rsidRDefault="00C513C4" w:rsidP="001C3CEF">
            <w:pPr>
              <w:jc w:val="center"/>
              <w:rPr>
                <w:b/>
              </w:rPr>
            </w:pPr>
            <w:r w:rsidRPr="00C95768">
              <w:rPr>
                <w:b/>
              </w:rPr>
              <w:t>Responsibility</w:t>
            </w:r>
          </w:p>
        </w:tc>
      </w:tr>
      <w:tr w:rsidR="0057717A" w14:paraId="07CA0675" w14:textId="77777777" w:rsidTr="00686CA2">
        <w:tc>
          <w:tcPr>
            <w:tcW w:w="300" w:type="pct"/>
          </w:tcPr>
          <w:p w14:paraId="287131DC" w14:textId="77777777" w:rsidR="00C513C4" w:rsidRPr="00C95768" w:rsidRDefault="00C513C4" w:rsidP="001C3CEF">
            <w:pPr>
              <w:rPr>
                <w:b/>
              </w:rPr>
            </w:pPr>
            <w:r w:rsidRPr="00C95768">
              <w:rPr>
                <w:b/>
              </w:rPr>
              <w:t xml:space="preserve">Energy </w:t>
            </w:r>
          </w:p>
        </w:tc>
        <w:tc>
          <w:tcPr>
            <w:tcW w:w="586" w:type="pct"/>
          </w:tcPr>
          <w:p w14:paraId="19928284" w14:textId="77777777" w:rsidR="00C513C4" w:rsidRPr="00C95768" w:rsidRDefault="00C513C4" w:rsidP="001C3CEF">
            <w:r w:rsidRPr="00C95768">
              <w:t>Reduce energy-related carbon emissions.</w:t>
            </w:r>
          </w:p>
        </w:tc>
        <w:tc>
          <w:tcPr>
            <w:tcW w:w="638" w:type="pct"/>
          </w:tcPr>
          <w:p w14:paraId="24A5C145" w14:textId="564BCA52" w:rsidR="00C513C4" w:rsidRPr="00C95768" w:rsidRDefault="00C513C4" w:rsidP="001C3CEF">
            <w:r w:rsidRPr="00C95768">
              <w:t xml:space="preserve">Reduce absolute carbon emissions from energy by </w:t>
            </w:r>
            <w:r w:rsidR="002024BD" w:rsidRPr="00C95768">
              <w:t>at least</w:t>
            </w:r>
            <w:r w:rsidRPr="00C95768">
              <w:t xml:space="preserve"> 90% by 2030.</w:t>
            </w:r>
          </w:p>
        </w:tc>
        <w:tc>
          <w:tcPr>
            <w:tcW w:w="682" w:type="pct"/>
          </w:tcPr>
          <w:p w14:paraId="05F43A34" w14:textId="77777777" w:rsidR="00C513C4" w:rsidRPr="00C95768" w:rsidRDefault="00C513C4" w:rsidP="001C3CEF">
            <w:r w:rsidRPr="00C95768">
              <w:t>Monitor and analyse energy consumption data regularly (annually as a minimum) through the ISO 14001 EMS to track progress towards the target.</w:t>
            </w:r>
          </w:p>
        </w:tc>
        <w:tc>
          <w:tcPr>
            <w:tcW w:w="638" w:type="pct"/>
          </w:tcPr>
          <w:p w14:paraId="056990F8" w14:textId="77777777" w:rsidR="00C513C4" w:rsidRPr="00C95768" w:rsidRDefault="00C513C4" w:rsidP="001C3CEF">
            <w:r w:rsidRPr="00C95768">
              <w:t>Conduct energy audits to identify areas of high energy usage and implement energy efficiency technologies.</w:t>
            </w:r>
          </w:p>
        </w:tc>
        <w:tc>
          <w:tcPr>
            <w:tcW w:w="683" w:type="pct"/>
          </w:tcPr>
          <w:p w14:paraId="3DEB36C9" w14:textId="77777777" w:rsidR="00C513C4" w:rsidRPr="00C95768" w:rsidRDefault="00C513C4" w:rsidP="001C3CEF">
            <w:r w:rsidRPr="00C95768">
              <w:t>Reducing energy consumption will not only decrease carbon emissions but also lead to cost savings.</w:t>
            </w:r>
          </w:p>
        </w:tc>
        <w:tc>
          <w:tcPr>
            <w:tcW w:w="730" w:type="pct"/>
          </w:tcPr>
          <w:p w14:paraId="03A19BCF" w14:textId="77777777" w:rsidR="00C513C4" w:rsidRPr="00C95768" w:rsidRDefault="00C513C4" w:rsidP="001C3CEF">
            <w:r w:rsidRPr="00C95768">
              <w:t>Achieve a 3% reduction in energy consumption within the first year and implement progressive reductions annually to meet the net zero carbon by 2030 target.</w:t>
            </w:r>
          </w:p>
        </w:tc>
        <w:tc>
          <w:tcPr>
            <w:tcW w:w="744" w:type="pct"/>
          </w:tcPr>
          <w:p w14:paraId="69E2FF0E" w14:textId="572EE274" w:rsidR="00C513C4" w:rsidRPr="00C95768" w:rsidRDefault="00C513C4" w:rsidP="001C3CEF">
            <w:r w:rsidRPr="00C95768">
              <w:t xml:space="preserve">EOG – </w:t>
            </w:r>
            <w:r w:rsidR="006D0C31">
              <w:t xml:space="preserve">Executive </w:t>
            </w:r>
            <w:r w:rsidRPr="00C95768">
              <w:t xml:space="preserve">Director of Property </w:t>
            </w:r>
            <w:r w:rsidR="006D4623">
              <w:t>and Environment</w:t>
            </w:r>
            <w:r w:rsidRPr="00C95768">
              <w:t>.</w:t>
            </w:r>
          </w:p>
          <w:p w14:paraId="445FB864" w14:textId="77777777" w:rsidR="00C513C4" w:rsidRPr="00C95768" w:rsidRDefault="00C513C4" w:rsidP="001C3CEF"/>
          <w:p w14:paraId="2731BB48" w14:textId="245F0C14" w:rsidR="00C513C4" w:rsidRPr="00C95768" w:rsidRDefault="00C513C4" w:rsidP="001C3CEF">
            <w:r w:rsidRPr="00C95768">
              <w:t xml:space="preserve">Property Services – </w:t>
            </w:r>
            <w:r w:rsidR="006D0C31">
              <w:t xml:space="preserve">Executive </w:t>
            </w:r>
            <w:r w:rsidRPr="00C95768">
              <w:t xml:space="preserve">Director of Property </w:t>
            </w:r>
            <w:r w:rsidR="006D4623">
              <w:t>and Environment</w:t>
            </w:r>
            <w:r w:rsidRPr="00C95768">
              <w:t>.</w:t>
            </w:r>
          </w:p>
          <w:p w14:paraId="39EA82A9" w14:textId="77777777" w:rsidR="00C513C4" w:rsidRPr="00C95768" w:rsidRDefault="00C513C4" w:rsidP="001C3CEF"/>
          <w:p w14:paraId="74A36E80" w14:textId="77777777" w:rsidR="00C513C4" w:rsidRPr="00C95768" w:rsidRDefault="00C513C4" w:rsidP="001C3CEF">
            <w:r w:rsidRPr="00C95768">
              <w:t>IT – Associate Pro Vice-Chancellor and Chief Information Officer.</w:t>
            </w:r>
          </w:p>
          <w:p w14:paraId="3CD30DED" w14:textId="77777777" w:rsidR="00C513C4" w:rsidRPr="00C95768" w:rsidRDefault="00C513C4" w:rsidP="001C3CEF"/>
        </w:tc>
      </w:tr>
      <w:tr w:rsidR="007363A4" w14:paraId="1CD41FBF" w14:textId="77777777" w:rsidTr="00686CA2">
        <w:tc>
          <w:tcPr>
            <w:tcW w:w="288" w:type="pct"/>
          </w:tcPr>
          <w:p w14:paraId="6C66634F" w14:textId="77777777" w:rsidR="00C513C4" w:rsidRPr="00E21886" w:rsidRDefault="00C513C4" w:rsidP="001C3CEF">
            <w:pPr>
              <w:rPr>
                <w:b/>
                <w:bCs/>
              </w:rPr>
            </w:pPr>
            <w:r w:rsidRPr="00C95768">
              <w:rPr>
                <w:b/>
              </w:rPr>
              <w:t xml:space="preserve">Energy </w:t>
            </w:r>
          </w:p>
        </w:tc>
        <w:tc>
          <w:tcPr>
            <w:tcW w:w="586" w:type="pct"/>
          </w:tcPr>
          <w:p w14:paraId="2EFCBF5E" w14:textId="77777777" w:rsidR="00C513C4" w:rsidRPr="00C95768" w:rsidRDefault="00C513C4" w:rsidP="001C3CEF">
            <w:r w:rsidRPr="00C95768">
              <w:t>Reduce energy-related carbon emissions.</w:t>
            </w:r>
          </w:p>
        </w:tc>
        <w:tc>
          <w:tcPr>
            <w:tcW w:w="638" w:type="pct"/>
          </w:tcPr>
          <w:p w14:paraId="314641C1" w14:textId="77777777" w:rsidR="00C513C4" w:rsidRPr="00C95768" w:rsidRDefault="00C513C4" w:rsidP="001C3CEF">
            <w:r w:rsidRPr="00C95768">
              <w:t>Reduce market-based scope 2 emissions to net zero by 2030.</w:t>
            </w:r>
          </w:p>
        </w:tc>
        <w:tc>
          <w:tcPr>
            <w:tcW w:w="682" w:type="pct"/>
          </w:tcPr>
          <w:p w14:paraId="6F556353" w14:textId="77777777" w:rsidR="00C513C4" w:rsidRPr="00C95768" w:rsidRDefault="00C513C4" w:rsidP="001C3CEF">
            <w:r w:rsidRPr="005D7FC9">
              <w:t>Analyse and report on the fuel mix of UWL’s electricity supplier to measure market-based emissions.</w:t>
            </w:r>
          </w:p>
        </w:tc>
        <w:tc>
          <w:tcPr>
            <w:tcW w:w="638" w:type="pct"/>
          </w:tcPr>
          <w:p w14:paraId="39D05BAB" w14:textId="3F0C3253" w:rsidR="00C513C4" w:rsidRPr="00C95768" w:rsidRDefault="00C513C4" w:rsidP="001C3CEF">
            <w:r w:rsidRPr="005D7FC9">
              <w:t xml:space="preserve">Engage energy supplier to understand their current fuel mix and </w:t>
            </w:r>
            <w:r w:rsidRPr="00C95768">
              <w:t xml:space="preserve">transition to </w:t>
            </w:r>
            <w:r w:rsidR="002024BD" w:rsidRPr="00C95768">
              <w:t>renewable</w:t>
            </w:r>
            <w:r w:rsidRPr="00C95768">
              <w:t xml:space="preserve"> sources</w:t>
            </w:r>
            <w:r w:rsidRPr="005D7FC9">
              <w:t>.</w:t>
            </w:r>
          </w:p>
        </w:tc>
        <w:tc>
          <w:tcPr>
            <w:tcW w:w="683" w:type="pct"/>
          </w:tcPr>
          <w:p w14:paraId="095973FC" w14:textId="77777777" w:rsidR="00C513C4" w:rsidRPr="00E21886" w:rsidRDefault="00C513C4" w:rsidP="001C3CEF">
            <w:r w:rsidRPr="00C95768">
              <w:t>Purchasing green electricity tariffs will decrease carbon emissions when scope 2 emissions are calculated using market-based methodology.</w:t>
            </w:r>
          </w:p>
        </w:tc>
        <w:tc>
          <w:tcPr>
            <w:tcW w:w="730" w:type="pct"/>
          </w:tcPr>
          <w:p w14:paraId="47C33B40" w14:textId="77777777" w:rsidR="00C513C4" w:rsidRPr="00E21886" w:rsidRDefault="00C513C4" w:rsidP="001C3CEF">
            <w:r w:rsidRPr="00C95768">
              <w:t>Gather data on current energy supplier’s fuel mix and conduct review of available green energy tariffs within the first year, and switch to 100% renewable energy by 2030.</w:t>
            </w:r>
          </w:p>
        </w:tc>
        <w:tc>
          <w:tcPr>
            <w:tcW w:w="744" w:type="pct"/>
          </w:tcPr>
          <w:p w14:paraId="27C4E2A3" w14:textId="625FB902" w:rsidR="00C513C4" w:rsidRPr="00C95768" w:rsidRDefault="00C513C4" w:rsidP="001C3CEF">
            <w:r w:rsidRPr="00C95768">
              <w:t xml:space="preserve">EOG – </w:t>
            </w:r>
            <w:r w:rsidR="006D0C31">
              <w:t xml:space="preserve">Executive </w:t>
            </w:r>
            <w:r w:rsidRPr="00C95768">
              <w:t xml:space="preserve">Director of Property </w:t>
            </w:r>
            <w:r w:rsidR="006D4623">
              <w:t>and Environment</w:t>
            </w:r>
            <w:r w:rsidRPr="00C95768">
              <w:t>.</w:t>
            </w:r>
          </w:p>
          <w:p w14:paraId="47375FA1" w14:textId="77777777" w:rsidR="00C513C4" w:rsidRPr="00C95768" w:rsidRDefault="00C513C4" w:rsidP="001C3CEF"/>
          <w:p w14:paraId="325C8A37" w14:textId="4559C979" w:rsidR="00C513C4" w:rsidRPr="00C95768" w:rsidRDefault="00C513C4" w:rsidP="001C3CEF">
            <w:r w:rsidRPr="00C95768">
              <w:t xml:space="preserve">Property Services – </w:t>
            </w:r>
            <w:r w:rsidR="006D0C31">
              <w:t xml:space="preserve">Executive </w:t>
            </w:r>
            <w:r w:rsidRPr="00C95768">
              <w:t>Director of Property</w:t>
            </w:r>
            <w:r>
              <w:t xml:space="preserve"> </w:t>
            </w:r>
            <w:r w:rsidR="006D4623">
              <w:t>and Environment</w:t>
            </w:r>
            <w:r w:rsidRPr="00C95768">
              <w:t>.</w:t>
            </w:r>
          </w:p>
          <w:p w14:paraId="232F3AF2" w14:textId="77777777" w:rsidR="00C513C4" w:rsidRPr="00C95768" w:rsidRDefault="00C513C4" w:rsidP="001C3CEF"/>
          <w:p w14:paraId="65F51D05" w14:textId="77777777" w:rsidR="00C513C4" w:rsidRPr="00C95768" w:rsidRDefault="00C513C4" w:rsidP="001C3CEF">
            <w:r w:rsidRPr="00C95768">
              <w:lastRenderedPageBreak/>
              <w:t>Procurement – Head of Procurement.</w:t>
            </w:r>
          </w:p>
          <w:p w14:paraId="0767311F" w14:textId="77777777" w:rsidR="00C513C4" w:rsidRPr="00E21886" w:rsidRDefault="00C513C4" w:rsidP="001C3CEF"/>
        </w:tc>
      </w:tr>
      <w:tr w:rsidR="0057717A" w14:paraId="2781444A" w14:textId="77777777" w:rsidTr="00686CA2">
        <w:tc>
          <w:tcPr>
            <w:tcW w:w="288" w:type="pct"/>
          </w:tcPr>
          <w:p w14:paraId="10D29FAE" w14:textId="77777777" w:rsidR="00C513C4" w:rsidRPr="00C95768" w:rsidRDefault="00C513C4" w:rsidP="001C3CEF">
            <w:pPr>
              <w:rPr>
                <w:b/>
              </w:rPr>
            </w:pPr>
            <w:r w:rsidRPr="00C95768">
              <w:rPr>
                <w:b/>
              </w:rPr>
              <w:lastRenderedPageBreak/>
              <w:t>Procurement</w:t>
            </w:r>
          </w:p>
        </w:tc>
        <w:tc>
          <w:tcPr>
            <w:tcW w:w="586" w:type="pct"/>
          </w:tcPr>
          <w:p w14:paraId="7B44A003" w14:textId="77777777" w:rsidR="00C513C4" w:rsidRPr="00C95768" w:rsidRDefault="00C513C4" w:rsidP="001C3CEF">
            <w:r w:rsidRPr="00C95768">
              <w:t>Reduce procurement-related carbon emissions.</w:t>
            </w:r>
          </w:p>
        </w:tc>
        <w:tc>
          <w:tcPr>
            <w:tcW w:w="638" w:type="pct"/>
          </w:tcPr>
          <w:p w14:paraId="12BB9013" w14:textId="77777777" w:rsidR="00C513C4" w:rsidRPr="00C95768" w:rsidRDefault="00C513C4" w:rsidP="001C3CEF">
            <w:r w:rsidRPr="00C95768">
              <w:t>Reduce carbon emissions from procurement activities to net zero by 2030.</w:t>
            </w:r>
          </w:p>
        </w:tc>
        <w:tc>
          <w:tcPr>
            <w:tcW w:w="682" w:type="pct"/>
          </w:tcPr>
          <w:p w14:paraId="4092DB7B" w14:textId="59A3C968" w:rsidR="00C513C4" w:rsidRPr="00C95768" w:rsidRDefault="00C513C4" w:rsidP="001C3CEF">
            <w:r w:rsidRPr="00C95768">
              <w:t xml:space="preserve">Measure and monitor progress through data on emissions associated with the procurement of good and services </w:t>
            </w:r>
            <w:r w:rsidR="002024BD" w:rsidRPr="00C95768">
              <w:t>regularly</w:t>
            </w:r>
            <w:r w:rsidRPr="00C95768">
              <w:t xml:space="preserve"> (annually as a minimum) through the ISO 14001 EMS.</w:t>
            </w:r>
          </w:p>
        </w:tc>
        <w:tc>
          <w:tcPr>
            <w:tcW w:w="638" w:type="pct"/>
          </w:tcPr>
          <w:p w14:paraId="5CFAC876" w14:textId="77777777" w:rsidR="00C513C4" w:rsidRPr="00C95768" w:rsidRDefault="00C513C4" w:rsidP="001C3CEF">
            <w:r w:rsidRPr="00C95768">
              <w:t>Conduct supplier audits to identify areas of high emissions and opportunities for improvement.</w:t>
            </w:r>
          </w:p>
        </w:tc>
        <w:tc>
          <w:tcPr>
            <w:tcW w:w="683" w:type="pct"/>
          </w:tcPr>
          <w:p w14:paraId="1BE93B59" w14:textId="77777777" w:rsidR="00C513C4" w:rsidRPr="00C95768" w:rsidRDefault="00C513C4" w:rsidP="001C3CEF">
            <w:r w:rsidRPr="00C95768">
              <w:t xml:space="preserve">Addressing carbon emissions associated with procurement activities will result in reducing carbon emissions. </w:t>
            </w:r>
          </w:p>
        </w:tc>
        <w:tc>
          <w:tcPr>
            <w:tcW w:w="730" w:type="pct"/>
          </w:tcPr>
          <w:p w14:paraId="5D968F0F" w14:textId="77777777" w:rsidR="00C513C4" w:rsidRPr="00C95768" w:rsidRDefault="00C513C4" w:rsidP="001C3CEF">
            <w:r w:rsidRPr="00C95768">
              <w:t>Gather data on procurement carbon emissions within the first year, conduct supplier audits and achieve net zero carbon by 2030.</w:t>
            </w:r>
          </w:p>
        </w:tc>
        <w:tc>
          <w:tcPr>
            <w:tcW w:w="744" w:type="pct"/>
          </w:tcPr>
          <w:p w14:paraId="73FB2875" w14:textId="381E5F88" w:rsidR="00C513C4" w:rsidRPr="00C95768" w:rsidRDefault="00C513C4" w:rsidP="001C3CEF">
            <w:r w:rsidRPr="00C95768">
              <w:t xml:space="preserve">EOG – </w:t>
            </w:r>
            <w:r w:rsidR="006D0C31">
              <w:t xml:space="preserve">Executive </w:t>
            </w:r>
            <w:r w:rsidRPr="00C95768">
              <w:t xml:space="preserve">Director of Property </w:t>
            </w:r>
            <w:r w:rsidR="006D4623">
              <w:t>and Environment</w:t>
            </w:r>
            <w:r w:rsidRPr="00C95768">
              <w:t>.</w:t>
            </w:r>
          </w:p>
          <w:p w14:paraId="054C13EF" w14:textId="77777777" w:rsidR="00C513C4" w:rsidRPr="00C95768" w:rsidRDefault="00C513C4" w:rsidP="001C3CEF"/>
          <w:p w14:paraId="52A55C04" w14:textId="6B2DEE28" w:rsidR="00C513C4" w:rsidRPr="00C95768" w:rsidRDefault="00C513C4" w:rsidP="001C3CEF">
            <w:r w:rsidRPr="00C95768">
              <w:t xml:space="preserve">Property Services – </w:t>
            </w:r>
            <w:r w:rsidR="006D0C31">
              <w:t xml:space="preserve">Executive </w:t>
            </w:r>
            <w:r w:rsidRPr="00C95768">
              <w:t xml:space="preserve">Director of Property </w:t>
            </w:r>
            <w:r w:rsidR="006D4623">
              <w:t>and Environment</w:t>
            </w:r>
            <w:r w:rsidRPr="00C95768">
              <w:t>.</w:t>
            </w:r>
          </w:p>
          <w:p w14:paraId="2CC7D507" w14:textId="77777777" w:rsidR="00C513C4" w:rsidRPr="00C95768" w:rsidRDefault="00C513C4" w:rsidP="001C3CEF"/>
          <w:p w14:paraId="094443A4" w14:textId="77777777" w:rsidR="00C513C4" w:rsidRPr="00C95768" w:rsidRDefault="00C513C4" w:rsidP="001C3CEF">
            <w:r w:rsidRPr="00C95768">
              <w:t>Procurement – Group Chief Financial Officer.</w:t>
            </w:r>
          </w:p>
          <w:p w14:paraId="1AE392BE" w14:textId="77777777" w:rsidR="00C513C4" w:rsidRPr="00C95768" w:rsidRDefault="00C513C4" w:rsidP="001C3CEF"/>
        </w:tc>
      </w:tr>
      <w:tr w:rsidR="0057717A" w14:paraId="5CF6F362" w14:textId="77777777" w:rsidTr="00686CA2">
        <w:tc>
          <w:tcPr>
            <w:tcW w:w="288" w:type="pct"/>
          </w:tcPr>
          <w:p w14:paraId="25258661" w14:textId="77777777" w:rsidR="00C513C4" w:rsidRPr="00C95768" w:rsidRDefault="00C513C4" w:rsidP="001C3CEF">
            <w:pPr>
              <w:rPr>
                <w:b/>
              </w:rPr>
            </w:pPr>
            <w:r w:rsidRPr="00C95768">
              <w:rPr>
                <w:b/>
              </w:rPr>
              <w:t>Travel</w:t>
            </w:r>
          </w:p>
        </w:tc>
        <w:tc>
          <w:tcPr>
            <w:tcW w:w="586" w:type="pct"/>
          </w:tcPr>
          <w:p w14:paraId="2BA0F342" w14:textId="77777777" w:rsidR="00C513C4" w:rsidRPr="00C95768" w:rsidRDefault="00C513C4" w:rsidP="001C3CEF">
            <w:r w:rsidRPr="00C95768">
              <w:t>Improve sustainable travel and transportation.</w:t>
            </w:r>
          </w:p>
        </w:tc>
        <w:tc>
          <w:tcPr>
            <w:tcW w:w="638" w:type="pct"/>
          </w:tcPr>
          <w:p w14:paraId="58A0F168" w14:textId="77777777" w:rsidR="00C513C4" w:rsidRPr="00C95768" w:rsidRDefault="00C513C4" w:rsidP="001C3CEF">
            <w:r w:rsidRPr="00C95768">
              <w:t>Reduce carbon emissions from travel and transportation to net zero by 2030.</w:t>
            </w:r>
          </w:p>
        </w:tc>
        <w:tc>
          <w:tcPr>
            <w:tcW w:w="682" w:type="pct"/>
          </w:tcPr>
          <w:p w14:paraId="315A1918" w14:textId="77777777" w:rsidR="00C513C4" w:rsidRPr="00C95768" w:rsidRDefault="00C513C4" w:rsidP="001C3CEF">
            <w:r w:rsidRPr="00C95768">
              <w:t>Track commuting patterns, vehicle emissions, and transportation data on a regular basis (annually as a minimum) through the ISO 14001 EMS to monitor progress towards the target.</w:t>
            </w:r>
          </w:p>
        </w:tc>
        <w:tc>
          <w:tcPr>
            <w:tcW w:w="638" w:type="pct"/>
          </w:tcPr>
          <w:p w14:paraId="6881804A" w14:textId="77777777" w:rsidR="00C513C4" w:rsidRPr="00C95768" w:rsidRDefault="00C513C4" w:rsidP="001C3CEF">
            <w:r w:rsidRPr="00C95768">
              <w:t xml:space="preserve">Encourage walking, cycling, the use of public transportation, and car sharing through awareness campaigns and infrastructure improvements. </w:t>
            </w:r>
          </w:p>
        </w:tc>
        <w:tc>
          <w:tcPr>
            <w:tcW w:w="683" w:type="pct"/>
          </w:tcPr>
          <w:p w14:paraId="4B23772A" w14:textId="77777777" w:rsidR="00C513C4" w:rsidRPr="00C95768" w:rsidRDefault="00C513C4" w:rsidP="001C3CEF">
            <w:r w:rsidRPr="00C95768">
              <w:t>Reducing travel and transportation-related emissions will contribute to overall carbon reduction goals of the University.</w:t>
            </w:r>
          </w:p>
        </w:tc>
        <w:tc>
          <w:tcPr>
            <w:tcW w:w="730" w:type="pct"/>
          </w:tcPr>
          <w:p w14:paraId="2A9F6FC2" w14:textId="77777777" w:rsidR="00C513C4" w:rsidRPr="00C95768" w:rsidRDefault="00C513C4" w:rsidP="001C3CEF">
            <w:r w:rsidRPr="00C95768">
              <w:t>Conduct travel surveys within the first year to identify improvement areas and achieve net zero carbon by 2030.</w:t>
            </w:r>
          </w:p>
        </w:tc>
        <w:tc>
          <w:tcPr>
            <w:tcW w:w="744" w:type="pct"/>
          </w:tcPr>
          <w:p w14:paraId="418F35BA" w14:textId="21AE3C10" w:rsidR="00C513C4" w:rsidRPr="00C95768" w:rsidRDefault="00C513C4" w:rsidP="001C3CEF">
            <w:r w:rsidRPr="00C95768">
              <w:t xml:space="preserve">EOG – </w:t>
            </w:r>
            <w:r w:rsidR="006D0C31">
              <w:t xml:space="preserve">Executive </w:t>
            </w:r>
            <w:r w:rsidRPr="00C95768">
              <w:t xml:space="preserve">Director of Property </w:t>
            </w:r>
            <w:r w:rsidR="006D4623">
              <w:t>and Environment</w:t>
            </w:r>
            <w:r w:rsidRPr="00C95768">
              <w:t>.</w:t>
            </w:r>
          </w:p>
          <w:p w14:paraId="2E0CE8A7" w14:textId="77777777" w:rsidR="00C513C4" w:rsidRPr="00C95768" w:rsidRDefault="00C513C4" w:rsidP="001C3CEF"/>
          <w:p w14:paraId="40461E78" w14:textId="218EB641" w:rsidR="00C513C4" w:rsidRPr="00C95768" w:rsidRDefault="00C513C4" w:rsidP="001C3CEF">
            <w:r w:rsidRPr="00C95768">
              <w:t xml:space="preserve">Property Services – </w:t>
            </w:r>
            <w:r w:rsidR="00BC756A">
              <w:t xml:space="preserve">Executive </w:t>
            </w:r>
            <w:r w:rsidRPr="00C95768">
              <w:t xml:space="preserve">Director of Property </w:t>
            </w:r>
            <w:r w:rsidR="006D4623">
              <w:t>and Environment</w:t>
            </w:r>
            <w:r w:rsidRPr="00C95768">
              <w:t>.</w:t>
            </w:r>
          </w:p>
          <w:p w14:paraId="5D0BA63A" w14:textId="77777777" w:rsidR="00C513C4" w:rsidRPr="00C95768" w:rsidRDefault="00C513C4" w:rsidP="001C3CEF"/>
          <w:p w14:paraId="22F4E799" w14:textId="77777777" w:rsidR="00C513C4" w:rsidRPr="00C95768" w:rsidRDefault="00C513C4" w:rsidP="001C3CEF">
            <w:r w:rsidRPr="00C95768">
              <w:t xml:space="preserve">SMB – Pro Vice-Chancellor </w:t>
            </w:r>
            <w:r w:rsidRPr="00C95768">
              <w:lastRenderedPageBreak/>
              <w:t>(Business Development).</w:t>
            </w:r>
          </w:p>
          <w:p w14:paraId="28659AF8" w14:textId="77777777" w:rsidR="00C513C4" w:rsidRPr="00C95768" w:rsidRDefault="00C513C4" w:rsidP="001C3CEF"/>
        </w:tc>
      </w:tr>
      <w:tr w:rsidR="0057717A" w14:paraId="64E4AD14" w14:textId="77777777" w:rsidTr="00686CA2">
        <w:tc>
          <w:tcPr>
            <w:tcW w:w="288" w:type="pct"/>
          </w:tcPr>
          <w:p w14:paraId="08E3E7E6" w14:textId="77777777" w:rsidR="00C513C4" w:rsidRPr="00C95768" w:rsidRDefault="00C513C4" w:rsidP="001C3CEF">
            <w:pPr>
              <w:rPr>
                <w:b/>
              </w:rPr>
            </w:pPr>
            <w:r w:rsidRPr="00C95768">
              <w:rPr>
                <w:b/>
              </w:rPr>
              <w:lastRenderedPageBreak/>
              <w:t>Waste</w:t>
            </w:r>
          </w:p>
        </w:tc>
        <w:tc>
          <w:tcPr>
            <w:tcW w:w="586" w:type="pct"/>
          </w:tcPr>
          <w:p w14:paraId="2A44083F" w14:textId="77777777" w:rsidR="00C513C4" w:rsidRPr="00C95768" w:rsidRDefault="00C513C4" w:rsidP="001C3CEF">
            <w:r w:rsidRPr="00C95768">
              <w:t>Enhance waste management and recycling.</w:t>
            </w:r>
          </w:p>
        </w:tc>
        <w:tc>
          <w:tcPr>
            <w:tcW w:w="638" w:type="pct"/>
          </w:tcPr>
          <w:p w14:paraId="0EFD1A61" w14:textId="77777777" w:rsidR="00C513C4" w:rsidRPr="00C95768" w:rsidRDefault="00C513C4" w:rsidP="001C3CEF">
            <w:r w:rsidRPr="00C95768">
              <w:t>Reduce carbon emissions from waste to net zero by 2030.</w:t>
            </w:r>
          </w:p>
        </w:tc>
        <w:tc>
          <w:tcPr>
            <w:tcW w:w="682" w:type="pct"/>
          </w:tcPr>
          <w:p w14:paraId="1EE9A547" w14:textId="617BA098" w:rsidR="00C513C4" w:rsidRPr="00C95768" w:rsidRDefault="00C513C4" w:rsidP="001C3CEF">
            <w:r w:rsidRPr="00C95768">
              <w:t>Regularly measure and monitor the amount of waste generated and treated (</w:t>
            </w:r>
            <w:r w:rsidR="002024BD" w:rsidRPr="00C95768">
              <w:t>annually</w:t>
            </w:r>
            <w:r w:rsidRPr="00C95768">
              <w:t xml:space="preserve"> as a minimum) through the ISO 14001 EMS to track progress towards the target.</w:t>
            </w:r>
          </w:p>
        </w:tc>
        <w:tc>
          <w:tcPr>
            <w:tcW w:w="638" w:type="pct"/>
          </w:tcPr>
          <w:p w14:paraId="04764474" w14:textId="77777777" w:rsidR="00C513C4" w:rsidRPr="00C95768" w:rsidRDefault="00C513C4" w:rsidP="001C3CEF">
            <w:r w:rsidRPr="00C95768">
              <w:t>Improve reuse and recycling infrastructure, provide clear reuse and recycling guidelines and educate the University community about the importance of wate reduction, reuse and recycling.</w:t>
            </w:r>
          </w:p>
        </w:tc>
        <w:tc>
          <w:tcPr>
            <w:tcW w:w="683" w:type="pct"/>
          </w:tcPr>
          <w:p w14:paraId="482CB755" w14:textId="14F83BA0" w:rsidR="00C513C4" w:rsidRPr="00C95768" w:rsidRDefault="00C513C4" w:rsidP="001C3CEF">
            <w:r w:rsidRPr="00C95768">
              <w:t xml:space="preserve">Effective waste management and recycling will minimise the environmental impact of the University and reduce carbon emissions associated with waste </w:t>
            </w:r>
            <w:r w:rsidR="002024BD" w:rsidRPr="00C95768">
              <w:t>disposal</w:t>
            </w:r>
            <w:r w:rsidRPr="00C95768">
              <w:t>.</w:t>
            </w:r>
          </w:p>
        </w:tc>
        <w:tc>
          <w:tcPr>
            <w:tcW w:w="730" w:type="pct"/>
          </w:tcPr>
          <w:p w14:paraId="7682239F" w14:textId="77777777" w:rsidR="00C513C4" w:rsidRPr="00C95768" w:rsidRDefault="00C513C4" w:rsidP="001C3CEF">
            <w:r w:rsidRPr="00C95768">
              <w:t>Conduct waste audits within the first year to identify improvement areas, implement recycling infrastructure improvements, and achieve net zero carbon by 2030.</w:t>
            </w:r>
          </w:p>
        </w:tc>
        <w:tc>
          <w:tcPr>
            <w:tcW w:w="744" w:type="pct"/>
          </w:tcPr>
          <w:p w14:paraId="799D929B" w14:textId="383AE645" w:rsidR="00C513C4" w:rsidRPr="00C95768" w:rsidRDefault="00C513C4" w:rsidP="001C3CEF">
            <w:r w:rsidRPr="00C95768">
              <w:t xml:space="preserve">EOG – </w:t>
            </w:r>
            <w:r w:rsidR="00BC756A">
              <w:t xml:space="preserve">Executive </w:t>
            </w:r>
            <w:r w:rsidRPr="00C95768">
              <w:t xml:space="preserve">Director of Property </w:t>
            </w:r>
            <w:r w:rsidR="006D4623">
              <w:t>and Environment</w:t>
            </w:r>
            <w:r w:rsidRPr="00C95768">
              <w:t>.</w:t>
            </w:r>
          </w:p>
          <w:p w14:paraId="2D0E2A4A" w14:textId="77777777" w:rsidR="00C513C4" w:rsidRPr="00C95768" w:rsidRDefault="00C513C4" w:rsidP="001C3CEF"/>
          <w:p w14:paraId="1379149B" w14:textId="30CB13CB" w:rsidR="00C513C4" w:rsidRPr="00C95768" w:rsidRDefault="00C513C4" w:rsidP="001C3CEF">
            <w:r w:rsidRPr="00C95768">
              <w:t xml:space="preserve">Property Services – </w:t>
            </w:r>
            <w:r w:rsidR="00BC756A">
              <w:t xml:space="preserve">Executive </w:t>
            </w:r>
            <w:r w:rsidRPr="00C95768">
              <w:t xml:space="preserve">Director of Property </w:t>
            </w:r>
            <w:r w:rsidR="006D4623">
              <w:t>and Environment</w:t>
            </w:r>
            <w:r w:rsidRPr="00C95768">
              <w:t>.</w:t>
            </w:r>
          </w:p>
          <w:p w14:paraId="271828DF" w14:textId="77777777" w:rsidR="00C513C4" w:rsidRPr="00C95768" w:rsidRDefault="00C513C4" w:rsidP="001C3CEF"/>
        </w:tc>
      </w:tr>
      <w:tr w:rsidR="0057717A" w14:paraId="19C65D8F" w14:textId="77777777" w:rsidTr="00686CA2">
        <w:tc>
          <w:tcPr>
            <w:tcW w:w="288" w:type="pct"/>
          </w:tcPr>
          <w:p w14:paraId="33D0CFB4" w14:textId="77777777" w:rsidR="00C513C4" w:rsidRPr="00C95768" w:rsidRDefault="00C513C4" w:rsidP="001C3CEF">
            <w:pPr>
              <w:rPr>
                <w:b/>
              </w:rPr>
            </w:pPr>
            <w:r w:rsidRPr="00C95768">
              <w:rPr>
                <w:b/>
              </w:rPr>
              <w:t>Water</w:t>
            </w:r>
          </w:p>
        </w:tc>
        <w:tc>
          <w:tcPr>
            <w:tcW w:w="586" w:type="pct"/>
          </w:tcPr>
          <w:p w14:paraId="6CBCF465" w14:textId="77777777" w:rsidR="00C513C4" w:rsidRPr="00C95768" w:rsidRDefault="00C513C4" w:rsidP="001C3CEF">
            <w:r w:rsidRPr="00C95768">
              <w:t>Reduce water-related carbon emissions.</w:t>
            </w:r>
          </w:p>
        </w:tc>
        <w:tc>
          <w:tcPr>
            <w:tcW w:w="638" w:type="pct"/>
          </w:tcPr>
          <w:p w14:paraId="27F8B5E3" w14:textId="77777777" w:rsidR="00C513C4" w:rsidRPr="00C95768" w:rsidRDefault="00C513C4" w:rsidP="001C3CEF">
            <w:r w:rsidRPr="00C95768">
              <w:t>Reduce carbon emissions from water to net zero by 2030.</w:t>
            </w:r>
          </w:p>
        </w:tc>
        <w:tc>
          <w:tcPr>
            <w:tcW w:w="682" w:type="pct"/>
          </w:tcPr>
          <w:p w14:paraId="0B668E39" w14:textId="77777777" w:rsidR="00C513C4" w:rsidRPr="00C95768" w:rsidRDefault="00C513C4" w:rsidP="001C3CEF">
            <w:r w:rsidRPr="00C95768">
              <w:t>Track water consumption and associated carbon emissions on a regular basis (annually as a minimum) through the ISO 14001 EMS to monitor progress towards the target.</w:t>
            </w:r>
          </w:p>
        </w:tc>
        <w:tc>
          <w:tcPr>
            <w:tcW w:w="638" w:type="pct"/>
          </w:tcPr>
          <w:p w14:paraId="786AE27E" w14:textId="77777777" w:rsidR="00C513C4" w:rsidRPr="00C95768" w:rsidRDefault="00C513C4" w:rsidP="001C3CEF">
            <w:r w:rsidRPr="00C95768">
              <w:t>Consider implementing water conservation practices, efficiency improvements and sustainable water management initiatives.</w:t>
            </w:r>
          </w:p>
        </w:tc>
        <w:tc>
          <w:tcPr>
            <w:tcW w:w="683" w:type="pct"/>
          </w:tcPr>
          <w:p w14:paraId="377FE80C" w14:textId="77777777" w:rsidR="00C513C4" w:rsidRPr="00C95768" w:rsidRDefault="00C513C4" w:rsidP="001C3CEF">
            <w:r w:rsidRPr="00C95768">
              <w:t>Reducing water-related emissions will contribute to overall carbon reduction goals of the University.</w:t>
            </w:r>
          </w:p>
        </w:tc>
        <w:tc>
          <w:tcPr>
            <w:tcW w:w="730" w:type="pct"/>
          </w:tcPr>
          <w:p w14:paraId="40F5D9F8" w14:textId="77777777" w:rsidR="00C513C4" w:rsidRPr="00C95768" w:rsidRDefault="00C513C4" w:rsidP="001C3CEF">
            <w:r w:rsidRPr="00C95768">
              <w:t>Conduct water audits to identify improvement areas and achieve net zero carbon by 2030.</w:t>
            </w:r>
          </w:p>
        </w:tc>
        <w:tc>
          <w:tcPr>
            <w:tcW w:w="744" w:type="pct"/>
          </w:tcPr>
          <w:p w14:paraId="32B7CF1E" w14:textId="34866BA3" w:rsidR="00C513C4" w:rsidRPr="00C95768" w:rsidRDefault="00C513C4" w:rsidP="001C3CEF">
            <w:r w:rsidRPr="00C95768">
              <w:t xml:space="preserve">EOG – </w:t>
            </w:r>
            <w:r w:rsidR="00BC756A">
              <w:t xml:space="preserve">Executive </w:t>
            </w:r>
            <w:r w:rsidRPr="00C95768">
              <w:t xml:space="preserve">Director of Property </w:t>
            </w:r>
            <w:r w:rsidR="006D4623">
              <w:t>and Environment</w:t>
            </w:r>
            <w:r w:rsidRPr="00C95768">
              <w:t>.</w:t>
            </w:r>
          </w:p>
          <w:p w14:paraId="50918B70" w14:textId="77777777" w:rsidR="00C513C4" w:rsidRPr="00C95768" w:rsidRDefault="00C513C4" w:rsidP="001C3CEF"/>
          <w:p w14:paraId="7A9F23D9" w14:textId="511A98DD" w:rsidR="00C513C4" w:rsidRPr="00C95768" w:rsidRDefault="00C513C4" w:rsidP="001C3CEF">
            <w:r w:rsidRPr="00C95768">
              <w:t xml:space="preserve">Property Services – </w:t>
            </w:r>
            <w:r w:rsidR="00BC756A">
              <w:t xml:space="preserve">Executive </w:t>
            </w:r>
            <w:r w:rsidRPr="00C95768">
              <w:t xml:space="preserve">Director of Property </w:t>
            </w:r>
            <w:r w:rsidR="006D4623">
              <w:t>and Environment</w:t>
            </w:r>
            <w:r w:rsidRPr="00C95768">
              <w:t>.</w:t>
            </w:r>
          </w:p>
          <w:p w14:paraId="462F25B5" w14:textId="77777777" w:rsidR="00C513C4" w:rsidRPr="00C95768" w:rsidRDefault="00C513C4" w:rsidP="001C3CEF"/>
        </w:tc>
      </w:tr>
      <w:tr w:rsidR="0057717A" w14:paraId="2254C77A" w14:textId="77777777" w:rsidTr="00686CA2">
        <w:tc>
          <w:tcPr>
            <w:tcW w:w="288" w:type="pct"/>
          </w:tcPr>
          <w:p w14:paraId="69FFF164" w14:textId="77777777" w:rsidR="00C513C4" w:rsidRPr="00C95768" w:rsidRDefault="00C513C4" w:rsidP="001C3CEF">
            <w:pPr>
              <w:rPr>
                <w:b/>
              </w:rPr>
            </w:pPr>
            <w:r w:rsidRPr="00C95768">
              <w:rPr>
                <w:b/>
              </w:rPr>
              <w:lastRenderedPageBreak/>
              <w:t>Food</w:t>
            </w:r>
          </w:p>
        </w:tc>
        <w:tc>
          <w:tcPr>
            <w:tcW w:w="586" w:type="pct"/>
          </w:tcPr>
          <w:p w14:paraId="1ADC7D3F" w14:textId="77777777" w:rsidR="00C513C4" w:rsidRPr="00C95768" w:rsidRDefault="00C513C4" w:rsidP="001C3CEF">
            <w:r w:rsidRPr="00C95768">
              <w:t>Reduce food-related carbon emissions.</w:t>
            </w:r>
          </w:p>
        </w:tc>
        <w:tc>
          <w:tcPr>
            <w:tcW w:w="638" w:type="pct"/>
          </w:tcPr>
          <w:p w14:paraId="17BD8D4A" w14:textId="334E181A" w:rsidR="00C513C4" w:rsidRPr="00C95768" w:rsidRDefault="00C513C4" w:rsidP="001C3CEF">
            <w:r w:rsidRPr="00C95768">
              <w:t>Reduce carbon emissions from food related</w:t>
            </w:r>
            <w:r w:rsidR="00C95768" w:rsidRPr="00C95768">
              <w:t xml:space="preserve"> </w:t>
            </w:r>
            <w:r w:rsidRPr="00C95768">
              <w:t>activities (sourcing, preparation, and consumption) to net zero by 2030.</w:t>
            </w:r>
          </w:p>
        </w:tc>
        <w:tc>
          <w:tcPr>
            <w:tcW w:w="682" w:type="pct"/>
          </w:tcPr>
          <w:p w14:paraId="5DE21A96" w14:textId="768A237A" w:rsidR="00C513C4" w:rsidRPr="00C95768" w:rsidRDefault="00C513C4" w:rsidP="001C3CEF">
            <w:r w:rsidRPr="00C95768">
              <w:t xml:space="preserve">Regularly measure and monitor the carbon </w:t>
            </w:r>
            <w:r w:rsidR="002024BD" w:rsidRPr="00C95768">
              <w:t>emissions</w:t>
            </w:r>
            <w:r w:rsidRPr="00C95768">
              <w:t xml:space="preserve"> associated with food-related activities (annually as a minimum) through the ISO 14001 EMS to track progress towards the target.</w:t>
            </w:r>
          </w:p>
        </w:tc>
        <w:tc>
          <w:tcPr>
            <w:tcW w:w="638" w:type="pct"/>
          </w:tcPr>
          <w:p w14:paraId="4622CA01" w14:textId="77777777" w:rsidR="00C513C4" w:rsidRPr="00C95768" w:rsidRDefault="00C513C4" w:rsidP="001C3CEF">
            <w:r w:rsidRPr="00C95768">
              <w:t>Improve sourcing local and seasonal produce, reducing food waste, and implementing energy-efficient kitchen equipment.</w:t>
            </w:r>
          </w:p>
        </w:tc>
        <w:tc>
          <w:tcPr>
            <w:tcW w:w="683" w:type="pct"/>
          </w:tcPr>
          <w:p w14:paraId="3FAC5637" w14:textId="77777777" w:rsidR="00C513C4" w:rsidRPr="00C95768" w:rsidRDefault="00C513C4" w:rsidP="001C3CEF">
            <w:r w:rsidRPr="00C95768">
              <w:t>Reducing food-related emissions will contribute to overall carbon reduction goals of the University.</w:t>
            </w:r>
          </w:p>
        </w:tc>
        <w:tc>
          <w:tcPr>
            <w:tcW w:w="730" w:type="pct"/>
          </w:tcPr>
          <w:p w14:paraId="51744B41" w14:textId="77777777" w:rsidR="00C513C4" w:rsidRPr="00C95768" w:rsidRDefault="00C513C4" w:rsidP="001C3CEF">
            <w:r w:rsidRPr="00C95768">
              <w:t>Gather data on food-related emissions and achieve net zero carbon by 2030.</w:t>
            </w:r>
          </w:p>
        </w:tc>
        <w:tc>
          <w:tcPr>
            <w:tcW w:w="744" w:type="pct"/>
          </w:tcPr>
          <w:p w14:paraId="7577DD31" w14:textId="4383C149" w:rsidR="00C513C4" w:rsidRPr="00C95768" w:rsidRDefault="00C513C4" w:rsidP="001C3CEF">
            <w:r w:rsidRPr="00C95768">
              <w:t xml:space="preserve">EOG – </w:t>
            </w:r>
            <w:r w:rsidR="00BC756A">
              <w:t xml:space="preserve">Executive </w:t>
            </w:r>
            <w:r w:rsidRPr="00C95768">
              <w:t xml:space="preserve">Director of Property </w:t>
            </w:r>
            <w:r w:rsidR="006D4623">
              <w:t>and Environment</w:t>
            </w:r>
            <w:r w:rsidRPr="00C95768">
              <w:t>.</w:t>
            </w:r>
          </w:p>
          <w:p w14:paraId="126DA62D" w14:textId="77777777" w:rsidR="00C513C4" w:rsidRPr="00C95768" w:rsidRDefault="00C513C4" w:rsidP="001C3CEF"/>
          <w:p w14:paraId="138CCC1D" w14:textId="29327DB8" w:rsidR="00C513C4" w:rsidRPr="00C95768" w:rsidRDefault="00C513C4" w:rsidP="001C3CEF">
            <w:r w:rsidRPr="00C95768">
              <w:t xml:space="preserve">Property Services – </w:t>
            </w:r>
            <w:r w:rsidR="00BC756A">
              <w:t xml:space="preserve">Executive </w:t>
            </w:r>
            <w:r w:rsidRPr="00C95768">
              <w:t xml:space="preserve">Director of Property </w:t>
            </w:r>
            <w:r w:rsidR="006D4623">
              <w:t>and Environment</w:t>
            </w:r>
            <w:r w:rsidRPr="00C95768">
              <w:t>.</w:t>
            </w:r>
          </w:p>
          <w:p w14:paraId="1B7F3E1E" w14:textId="77777777" w:rsidR="00C513C4" w:rsidRPr="00C95768" w:rsidRDefault="00C513C4" w:rsidP="001C3CEF"/>
          <w:p w14:paraId="7B7EC69B" w14:textId="77777777" w:rsidR="00C513C4" w:rsidRPr="00C95768" w:rsidRDefault="00C513C4" w:rsidP="001C3CEF">
            <w:r w:rsidRPr="00C95768">
              <w:t>London Geller College of Hospitality and Tourism (LGCHT) – Dean of LGCHT.</w:t>
            </w:r>
          </w:p>
          <w:p w14:paraId="499633FA" w14:textId="77777777" w:rsidR="00C513C4" w:rsidRPr="00C95768" w:rsidRDefault="00C513C4" w:rsidP="001C3CEF"/>
        </w:tc>
      </w:tr>
      <w:tr w:rsidR="0057717A" w14:paraId="1463BE98" w14:textId="77777777" w:rsidTr="00686CA2">
        <w:tc>
          <w:tcPr>
            <w:tcW w:w="288" w:type="pct"/>
          </w:tcPr>
          <w:p w14:paraId="29755C01" w14:textId="77777777" w:rsidR="00C513C4" w:rsidRPr="00C95768" w:rsidRDefault="00C513C4" w:rsidP="001C3CEF">
            <w:pPr>
              <w:rPr>
                <w:b/>
              </w:rPr>
            </w:pPr>
            <w:r w:rsidRPr="00C95768">
              <w:rPr>
                <w:b/>
              </w:rPr>
              <w:t>Engagement</w:t>
            </w:r>
          </w:p>
        </w:tc>
        <w:tc>
          <w:tcPr>
            <w:tcW w:w="586" w:type="pct"/>
          </w:tcPr>
          <w:p w14:paraId="16574D2F" w14:textId="77777777" w:rsidR="00C513C4" w:rsidRPr="00C95768" w:rsidRDefault="00C513C4" w:rsidP="001C3CEF">
            <w:r w:rsidRPr="00C95768">
              <w:t>Foster a culture of sustainability and awareness.</w:t>
            </w:r>
          </w:p>
        </w:tc>
        <w:tc>
          <w:tcPr>
            <w:tcW w:w="638" w:type="pct"/>
          </w:tcPr>
          <w:p w14:paraId="2E38CE1B" w14:textId="77777777" w:rsidR="00C513C4" w:rsidRPr="00C95768" w:rsidRDefault="00C513C4" w:rsidP="001C3CEF">
            <w:r w:rsidRPr="00C95768">
              <w:t>Increase awareness and engagement in sustainable practices among students, staff and visitors.</w:t>
            </w:r>
          </w:p>
        </w:tc>
        <w:tc>
          <w:tcPr>
            <w:tcW w:w="682" w:type="pct"/>
          </w:tcPr>
          <w:p w14:paraId="5447A6F7" w14:textId="77777777" w:rsidR="00C513C4" w:rsidRPr="00C95768" w:rsidRDefault="00C513C4" w:rsidP="001C3CEF">
            <w:r w:rsidRPr="00C95768">
              <w:t>Conduct surveys and assessments to measure the level of awareness and behaviour change regarding sustainability.</w:t>
            </w:r>
          </w:p>
        </w:tc>
        <w:tc>
          <w:tcPr>
            <w:tcW w:w="638" w:type="pct"/>
          </w:tcPr>
          <w:p w14:paraId="5BDD44AB" w14:textId="77777777" w:rsidR="00C513C4" w:rsidRPr="00C95768" w:rsidRDefault="00C513C4" w:rsidP="001C3CEF">
            <w:r w:rsidRPr="00C95768">
              <w:t>Develop education programmes, workshops and campaigns to promote sustainable behaviours and highlight the importance of carbon reduction.</w:t>
            </w:r>
          </w:p>
        </w:tc>
        <w:tc>
          <w:tcPr>
            <w:tcW w:w="683" w:type="pct"/>
          </w:tcPr>
          <w:p w14:paraId="52A04663" w14:textId="77777777" w:rsidR="00C513C4" w:rsidRPr="00C95768" w:rsidRDefault="00C513C4" w:rsidP="001C3CEF">
            <w:r w:rsidRPr="00C95768">
              <w:t>Creating a culture of sustainability will ensure long-term commitment and support for carbon management efforts.</w:t>
            </w:r>
          </w:p>
        </w:tc>
        <w:tc>
          <w:tcPr>
            <w:tcW w:w="730" w:type="pct"/>
          </w:tcPr>
          <w:p w14:paraId="69B91DE0" w14:textId="77777777" w:rsidR="00C513C4" w:rsidRPr="00C95768" w:rsidRDefault="00C513C4" w:rsidP="001C3CEF">
            <w:r w:rsidRPr="00C95768">
              <w:t>Launch sustainability awareness campaigns within the first year, conduct surveys to measure awareness levels and behaviour change, and continuously adapt and improve engagement strategies based on feedback.</w:t>
            </w:r>
          </w:p>
        </w:tc>
        <w:tc>
          <w:tcPr>
            <w:tcW w:w="744" w:type="pct"/>
          </w:tcPr>
          <w:p w14:paraId="7DBC1960" w14:textId="3F3830BC" w:rsidR="00C513C4" w:rsidRPr="00C95768" w:rsidRDefault="00C513C4" w:rsidP="001C3CEF">
            <w:r w:rsidRPr="00C95768">
              <w:t xml:space="preserve">EOG – </w:t>
            </w:r>
            <w:r w:rsidR="00BC756A">
              <w:t xml:space="preserve">Executive </w:t>
            </w:r>
            <w:r w:rsidRPr="00C95768">
              <w:t xml:space="preserve">Director of Property </w:t>
            </w:r>
            <w:r w:rsidR="00E901E9">
              <w:t>and Environment</w:t>
            </w:r>
            <w:r w:rsidRPr="00C95768">
              <w:t>.</w:t>
            </w:r>
          </w:p>
          <w:p w14:paraId="34267382" w14:textId="77777777" w:rsidR="00C513C4" w:rsidRPr="00C95768" w:rsidRDefault="00C513C4" w:rsidP="001C3CEF"/>
          <w:p w14:paraId="422A10FA" w14:textId="14593A43" w:rsidR="00C513C4" w:rsidRPr="00C95768" w:rsidRDefault="00C513C4" w:rsidP="001C3CEF">
            <w:r w:rsidRPr="00C95768">
              <w:t xml:space="preserve">Property Services – </w:t>
            </w:r>
            <w:r w:rsidR="00BC756A">
              <w:t xml:space="preserve">Executive </w:t>
            </w:r>
            <w:r w:rsidRPr="00C95768">
              <w:t xml:space="preserve">Director of Property </w:t>
            </w:r>
            <w:r w:rsidR="006D4623">
              <w:t>and Environment</w:t>
            </w:r>
            <w:r w:rsidRPr="00C95768">
              <w:t>.</w:t>
            </w:r>
          </w:p>
          <w:p w14:paraId="62DA1CFC" w14:textId="77777777" w:rsidR="00C513C4" w:rsidRPr="00C95768" w:rsidRDefault="00C513C4" w:rsidP="001C3CEF"/>
          <w:p w14:paraId="6496EB67" w14:textId="77777777" w:rsidR="00C513C4" w:rsidRPr="00C95768" w:rsidRDefault="00C513C4" w:rsidP="001C3CEF">
            <w:r w:rsidRPr="00C95768">
              <w:t xml:space="preserve">Marketing and Communications – Director of Marketing, </w:t>
            </w:r>
            <w:r w:rsidRPr="00C95768">
              <w:lastRenderedPageBreak/>
              <w:t>Recruitment and Communications.</w:t>
            </w:r>
          </w:p>
          <w:p w14:paraId="0CD1B1ED" w14:textId="77777777" w:rsidR="00C513C4" w:rsidRPr="00C95768" w:rsidRDefault="00C513C4" w:rsidP="001C3CEF"/>
          <w:p w14:paraId="63A38CF7" w14:textId="77777777" w:rsidR="00C513C4" w:rsidRPr="00C95768" w:rsidRDefault="00C513C4" w:rsidP="001C3CEF"/>
        </w:tc>
      </w:tr>
    </w:tbl>
    <w:p w14:paraId="51937F0C" w14:textId="77777777" w:rsidR="00C513C4" w:rsidRPr="00C32F5A" w:rsidRDefault="00C513C4" w:rsidP="00C513C4">
      <w:pPr>
        <w:tabs>
          <w:tab w:val="left" w:pos="2030"/>
        </w:tabs>
      </w:pPr>
    </w:p>
    <w:p w14:paraId="53397CEC" w14:textId="77777777" w:rsidR="00711E97" w:rsidRPr="006A5897" w:rsidRDefault="00711E97" w:rsidP="00F27450">
      <w:pPr>
        <w:spacing w:after="200" w:line="276" w:lineRule="auto"/>
        <w:rPr>
          <w:rFonts w:cs="Arial"/>
        </w:rPr>
      </w:pPr>
    </w:p>
    <w:sectPr w:rsidR="00711E97" w:rsidRPr="006A5897" w:rsidSect="0057717A">
      <w:pgSz w:w="16838" w:h="11906" w:orient="landscape"/>
      <w:pgMar w:top="1440" w:right="1440" w:bottom="1440" w:left="403" w:header="90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B6BE0" w14:textId="77777777" w:rsidR="00D201CD" w:rsidRDefault="00D201CD" w:rsidP="00EB783D">
      <w:r>
        <w:separator/>
      </w:r>
    </w:p>
  </w:endnote>
  <w:endnote w:type="continuationSeparator" w:id="0">
    <w:p w14:paraId="5B12B25F" w14:textId="77777777" w:rsidR="00D201CD" w:rsidRDefault="00D201CD" w:rsidP="00EB783D">
      <w:r>
        <w:continuationSeparator/>
      </w:r>
    </w:p>
  </w:endnote>
  <w:endnote w:type="continuationNotice" w:id="1">
    <w:p w14:paraId="17416361" w14:textId="77777777" w:rsidR="00D201CD" w:rsidRDefault="00D20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39711"/>
      <w:docPartObj>
        <w:docPartGallery w:val="Page Numbers (Bottom of Page)"/>
        <w:docPartUnique/>
      </w:docPartObj>
    </w:sdtPr>
    <w:sdtEndPr>
      <w:rPr>
        <w:noProof/>
      </w:rPr>
    </w:sdtEndPr>
    <w:sdtContent>
      <w:p w14:paraId="1FF57BE7" w14:textId="77777777" w:rsidR="00C513C4" w:rsidRDefault="00C513C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9F11DB" w14:textId="77777777" w:rsidR="00C513C4" w:rsidRDefault="00C51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2023" w14:textId="77777777" w:rsidR="00D201CD" w:rsidRDefault="00D201CD" w:rsidP="00EB783D">
      <w:bookmarkStart w:id="0" w:name="_Hlk168063786"/>
      <w:bookmarkEnd w:id="0"/>
      <w:r>
        <w:separator/>
      </w:r>
    </w:p>
  </w:footnote>
  <w:footnote w:type="continuationSeparator" w:id="0">
    <w:p w14:paraId="24CC61D5" w14:textId="77777777" w:rsidR="00D201CD" w:rsidRDefault="00D201CD" w:rsidP="00EB783D">
      <w:r>
        <w:continuationSeparator/>
      </w:r>
    </w:p>
  </w:footnote>
  <w:footnote w:type="continuationNotice" w:id="1">
    <w:p w14:paraId="42873FBD" w14:textId="77777777" w:rsidR="00D201CD" w:rsidRDefault="00D201CD"/>
  </w:footnote>
  <w:footnote w:id="2">
    <w:p w14:paraId="227DC12F" w14:textId="77777777" w:rsidR="00C513C4" w:rsidRDefault="00C513C4" w:rsidP="00C513C4">
      <w:pPr>
        <w:pStyle w:val="FootnoteText"/>
      </w:pPr>
      <w:r>
        <w:rPr>
          <w:rStyle w:val="FootnoteReference"/>
        </w:rPr>
        <w:footnoteRef/>
      </w:r>
      <w:r>
        <w:t xml:space="preserve"> </w:t>
      </w:r>
      <w:r w:rsidRPr="000B43C7">
        <w:t>https://www.uwl.ac.uk/about-us/sustainability#Sustainabilitypolicies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8287D" w14:textId="77777777" w:rsidR="008B1658" w:rsidRPr="00254D1F" w:rsidRDefault="008B1658" w:rsidP="008B1658">
    <w:pPr>
      <w:jc w:val="right"/>
      <w:rPr>
        <w:rFonts w:cs="Arial"/>
        <w:b/>
        <w:bCs/>
      </w:rPr>
    </w:pPr>
    <w:r w:rsidRPr="00052187">
      <w:rPr>
        <w:noProof/>
        <w:lang w:eastAsia="en-GB"/>
      </w:rPr>
      <w:drawing>
        <wp:anchor distT="0" distB="0" distL="114300" distR="114300" simplePos="0" relativeHeight="251659776" behindDoc="1" locked="0" layoutInCell="1" allowOverlap="1" wp14:anchorId="54E27F4F" wp14:editId="01DEECC5">
          <wp:simplePos x="0" y="0"/>
          <wp:positionH relativeFrom="column">
            <wp:posOffset>-99695</wp:posOffset>
          </wp:positionH>
          <wp:positionV relativeFrom="paragraph">
            <wp:posOffset>93980</wp:posOffset>
          </wp:positionV>
          <wp:extent cx="3609975" cy="838200"/>
          <wp:effectExtent l="0" t="0" r="9525" b="0"/>
          <wp:wrapTight wrapText="bothSides">
            <wp:wrapPolygon edited="0">
              <wp:start x="0" y="0"/>
              <wp:lineTo x="0" y="21109"/>
              <wp:lineTo x="21543" y="21109"/>
              <wp:lineTo x="21543" y="0"/>
              <wp:lineTo x="0" y="0"/>
            </wp:wrapPolygon>
          </wp:wrapTight>
          <wp:docPr id="423395854" name="Picture 423395854" descr="University of We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95854" name="Picture 423395854" descr="University of West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38200"/>
                  </a:xfrm>
                  <a:prstGeom prst="rect">
                    <a:avLst/>
                  </a:prstGeom>
                  <a:noFill/>
                  <a:ln>
                    <a:noFill/>
                  </a:ln>
                </pic:spPr>
              </pic:pic>
            </a:graphicData>
          </a:graphic>
        </wp:anchor>
      </w:drawing>
    </w:r>
  </w:p>
  <w:p w14:paraId="1F25E548" w14:textId="77777777" w:rsidR="008B1658" w:rsidRDefault="008B1658" w:rsidP="008B1658">
    <w:pPr>
      <w:pStyle w:val="Header"/>
      <w:jc w:val="right"/>
    </w:pPr>
  </w:p>
  <w:p w14:paraId="0BD9B288" w14:textId="77777777" w:rsidR="008B1658" w:rsidRDefault="008B1658" w:rsidP="008B1658">
    <w:pPr>
      <w:pStyle w:val="Header"/>
    </w:pPr>
  </w:p>
  <w:p w14:paraId="39A2C7CD" w14:textId="77777777" w:rsidR="008B1658" w:rsidRDefault="008B1658" w:rsidP="008B1658">
    <w:pPr>
      <w:pStyle w:val="Header"/>
    </w:pPr>
  </w:p>
  <w:p w14:paraId="34D7C662" w14:textId="77777777" w:rsidR="008B1658" w:rsidRDefault="008B1658" w:rsidP="008B1658">
    <w:pPr>
      <w:pStyle w:val="Header"/>
    </w:pPr>
  </w:p>
  <w:p w14:paraId="388CD3C9" w14:textId="77777777" w:rsidR="008B1658" w:rsidRDefault="008B1658" w:rsidP="001C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0F447" w14:textId="77777777" w:rsidR="008B1658" w:rsidRDefault="008B1658" w:rsidP="008B1658">
    <w:pPr>
      <w:pStyle w:val="Header"/>
    </w:pPr>
  </w:p>
  <w:p w14:paraId="7C17E96F" w14:textId="77777777" w:rsidR="008B1658" w:rsidRDefault="008B1658" w:rsidP="001C3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08DE"/>
    <w:multiLevelType w:val="multilevel"/>
    <w:tmpl w:val="1DE2E50A"/>
    <w:lvl w:ilvl="0">
      <w:start w:val="1"/>
      <w:numFmt w:val="decimal"/>
      <w:lvlText w:val="%1."/>
      <w:lvlJc w:val="left"/>
      <w:pPr>
        <w:ind w:left="432" w:hanging="432"/>
      </w:pPr>
      <w:rPr>
        <w:rFonts w:ascii="Arial" w:hAnsi="Arial" w:hint="default"/>
        <w:b/>
        <w:i w:val="0"/>
        <w:color w:val="auto"/>
        <w:sz w:val="22"/>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7D2A3D"/>
    <w:multiLevelType w:val="multilevel"/>
    <w:tmpl w:val="5BDA2C94"/>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 w15:restartNumberingAfterBreak="0">
    <w:nsid w:val="0B9F08CB"/>
    <w:multiLevelType w:val="multilevel"/>
    <w:tmpl w:val="1D8614F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C92A09"/>
    <w:multiLevelType w:val="hybridMultilevel"/>
    <w:tmpl w:val="B5D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240F4"/>
    <w:multiLevelType w:val="multilevel"/>
    <w:tmpl w:val="4852DADC"/>
    <w:lvl w:ilvl="0">
      <w:start w:val="1"/>
      <w:numFmt w:val="decimal"/>
      <w:lvlText w:val="%1.0"/>
      <w:lvlJc w:val="left"/>
      <w:pPr>
        <w:ind w:left="460" w:hanging="460"/>
      </w:pPr>
      <w:rPr>
        <w:rFonts w:hint="default"/>
      </w:rPr>
    </w:lvl>
    <w:lvl w:ilvl="1">
      <w:start w:val="1"/>
      <w:numFmt w:val="decimalZero"/>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6349B1"/>
    <w:multiLevelType w:val="multilevel"/>
    <w:tmpl w:val="4A2C0ABA"/>
    <w:lvl w:ilvl="0">
      <w:start w:val="2"/>
      <w:numFmt w:val="decimal"/>
      <w:lvlText w:val="%1.0"/>
      <w:lvlJc w:val="left"/>
      <w:pPr>
        <w:tabs>
          <w:tab w:val="num" w:pos="357"/>
        </w:tabs>
        <w:ind w:left="357" w:hanging="215"/>
      </w:pPr>
      <w:rPr>
        <w:rFonts w:hint="default"/>
      </w:rPr>
    </w:lvl>
    <w:lvl w:ilvl="1">
      <w:start w:val="1"/>
      <w:numFmt w:val="decimal"/>
      <w:lvlText w:val="%1.%2"/>
      <w:lvlJc w:val="left"/>
      <w:pPr>
        <w:tabs>
          <w:tab w:val="num" w:pos="357"/>
        </w:tabs>
        <w:ind w:left="357" w:hanging="215"/>
      </w:pPr>
      <w:rPr>
        <w:rFonts w:hint="default"/>
      </w:rPr>
    </w:lvl>
    <w:lvl w:ilvl="2">
      <w:start w:val="1"/>
      <w:numFmt w:val="decimal"/>
      <w:lvlText w:val="%1.%2.%3"/>
      <w:lvlJc w:val="left"/>
      <w:pPr>
        <w:tabs>
          <w:tab w:val="num" w:pos="357"/>
        </w:tabs>
        <w:ind w:left="357" w:hanging="215"/>
      </w:pPr>
      <w:rPr>
        <w:rFonts w:hint="default"/>
      </w:rPr>
    </w:lvl>
    <w:lvl w:ilvl="3">
      <w:start w:val="1"/>
      <w:numFmt w:val="decimal"/>
      <w:lvlText w:val="%1.%2.%3.%4"/>
      <w:lvlJc w:val="left"/>
      <w:pPr>
        <w:ind w:left="9899" w:hanging="1080"/>
      </w:pPr>
      <w:rPr>
        <w:rFonts w:hint="default"/>
      </w:rPr>
    </w:lvl>
    <w:lvl w:ilvl="4">
      <w:start w:val="1"/>
      <w:numFmt w:val="decimal"/>
      <w:lvlText w:val="%1.%2.%3.%4.%5"/>
      <w:lvlJc w:val="left"/>
      <w:pPr>
        <w:ind w:left="10619" w:hanging="1080"/>
      </w:pPr>
      <w:rPr>
        <w:rFonts w:hint="default"/>
      </w:rPr>
    </w:lvl>
    <w:lvl w:ilvl="5">
      <w:start w:val="1"/>
      <w:numFmt w:val="decimal"/>
      <w:lvlText w:val="%1.%2.%3.%4.%5.%6"/>
      <w:lvlJc w:val="left"/>
      <w:pPr>
        <w:ind w:left="11699" w:hanging="1440"/>
      </w:pPr>
      <w:rPr>
        <w:rFonts w:hint="default"/>
      </w:rPr>
    </w:lvl>
    <w:lvl w:ilvl="6">
      <w:start w:val="1"/>
      <w:numFmt w:val="decimal"/>
      <w:lvlText w:val="%1.%2.%3.%4.%5.%6.%7"/>
      <w:lvlJc w:val="left"/>
      <w:pPr>
        <w:ind w:left="12419" w:hanging="1440"/>
      </w:pPr>
      <w:rPr>
        <w:rFonts w:hint="default"/>
      </w:rPr>
    </w:lvl>
    <w:lvl w:ilvl="7">
      <w:start w:val="1"/>
      <w:numFmt w:val="decimal"/>
      <w:lvlText w:val="%1.%2.%3.%4.%5.%6.%7.%8"/>
      <w:lvlJc w:val="left"/>
      <w:pPr>
        <w:ind w:left="13499" w:hanging="1800"/>
      </w:pPr>
      <w:rPr>
        <w:rFonts w:hint="default"/>
      </w:rPr>
    </w:lvl>
    <w:lvl w:ilvl="8">
      <w:start w:val="1"/>
      <w:numFmt w:val="decimal"/>
      <w:lvlText w:val="%1.%2.%3.%4.%5.%6.%7.%8.%9"/>
      <w:lvlJc w:val="left"/>
      <w:pPr>
        <w:ind w:left="14219" w:hanging="1800"/>
      </w:pPr>
      <w:rPr>
        <w:rFonts w:hint="default"/>
      </w:rPr>
    </w:lvl>
  </w:abstractNum>
  <w:abstractNum w:abstractNumId="6" w15:restartNumberingAfterBreak="0">
    <w:nsid w:val="1A6007C8"/>
    <w:multiLevelType w:val="multilevel"/>
    <w:tmpl w:val="18B07540"/>
    <w:lvl w:ilvl="0">
      <w:start w:val="1"/>
      <w:numFmt w:val="decimal"/>
      <w:lvlText w:val="%1."/>
      <w:lvlJc w:val="right"/>
      <w:pPr>
        <w:ind w:left="360" w:hanging="72"/>
      </w:pPr>
      <w:rPr>
        <w:rFonts w:hint="default"/>
      </w:rPr>
    </w:lvl>
    <w:lvl w:ilvl="1">
      <w:start w:val="1"/>
      <w:numFmt w:val="decimal"/>
      <w:lvlText w:val="%1.%2."/>
      <w:lvlJc w:val="right"/>
      <w:pPr>
        <w:ind w:left="432" w:hanging="144"/>
      </w:pPr>
      <w:rPr>
        <w:rFonts w:hint="default"/>
      </w:rPr>
    </w:lvl>
    <w:lvl w:ilvl="2">
      <w:start w:val="1"/>
      <w:numFmt w:val="decimal"/>
      <w:lvlText w:val="%1.%2.%3."/>
      <w:lvlJc w:val="left"/>
      <w:pPr>
        <w:tabs>
          <w:tab w:val="num" w:pos="357"/>
        </w:tabs>
        <w:ind w:left="357" w:hanging="216"/>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0364D"/>
    <w:multiLevelType w:val="multilevel"/>
    <w:tmpl w:val="1DE2E50A"/>
    <w:lvl w:ilvl="0">
      <w:start w:val="1"/>
      <w:numFmt w:val="decimal"/>
      <w:lvlText w:val="%1."/>
      <w:lvlJc w:val="left"/>
      <w:pPr>
        <w:ind w:left="432" w:hanging="432"/>
      </w:pPr>
      <w:rPr>
        <w:rFonts w:ascii="Arial" w:hAnsi="Arial" w:hint="default"/>
        <w:b/>
        <w:i w:val="0"/>
        <w:color w:val="auto"/>
        <w:sz w:val="22"/>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FF054D"/>
    <w:multiLevelType w:val="hybridMultilevel"/>
    <w:tmpl w:val="F56A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2243E"/>
    <w:multiLevelType w:val="hybridMultilevel"/>
    <w:tmpl w:val="32BA6BCC"/>
    <w:lvl w:ilvl="0" w:tplc="0C2EA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E1DEE"/>
    <w:multiLevelType w:val="multilevel"/>
    <w:tmpl w:val="BE26389E"/>
    <w:lvl w:ilvl="0">
      <w:start w:val="4"/>
      <w:numFmt w:val="decimal"/>
      <w:lvlText w:val="%1.0"/>
      <w:lvlJc w:val="left"/>
      <w:pPr>
        <w:tabs>
          <w:tab w:val="num" w:pos="357"/>
        </w:tabs>
        <w:ind w:left="357" w:hanging="215"/>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473" w:hanging="144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6273" w:hanging="1800"/>
      </w:pPr>
      <w:rPr>
        <w:rFonts w:hint="default"/>
      </w:rPr>
    </w:lvl>
    <w:lvl w:ilvl="8">
      <w:start w:val="1"/>
      <w:numFmt w:val="decimal"/>
      <w:lvlText w:val="%1.%2.%3.%4.%5.%6.%7.%8.%9"/>
      <w:lvlJc w:val="left"/>
      <w:pPr>
        <w:ind w:left="6993" w:hanging="1800"/>
      </w:pPr>
      <w:rPr>
        <w:rFonts w:hint="default"/>
      </w:rPr>
    </w:lvl>
  </w:abstractNum>
  <w:abstractNum w:abstractNumId="11" w15:restartNumberingAfterBreak="0">
    <w:nsid w:val="28E74FBC"/>
    <w:multiLevelType w:val="hybridMultilevel"/>
    <w:tmpl w:val="36E0B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D786AB"/>
    <w:multiLevelType w:val="hybridMultilevel"/>
    <w:tmpl w:val="FFFFFFFF"/>
    <w:lvl w:ilvl="0" w:tplc="ED403106">
      <w:start w:val="1"/>
      <w:numFmt w:val="bullet"/>
      <w:lvlText w:val=""/>
      <w:lvlJc w:val="left"/>
      <w:pPr>
        <w:ind w:left="720" w:hanging="360"/>
      </w:pPr>
      <w:rPr>
        <w:rFonts w:ascii="Symbol" w:hAnsi="Symbol" w:hint="default"/>
      </w:rPr>
    </w:lvl>
    <w:lvl w:ilvl="1" w:tplc="0A1ACBD6">
      <w:start w:val="1"/>
      <w:numFmt w:val="bullet"/>
      <w:lvlText w:val="o"/>
      <w:lvlJc w:val="left"/>
      <w:pPr>
        <w:ind w:left="1440" w:hanging="360"/>
      </w:pPr>
      <w:rPr>
        <w:rFonts w:ascii="Courier New" w:hAnsi="Courier New" w:hint="default"/>
      </w:rPr>
    </w:lvl>
    <w:lvl w:ilvl="2" w:tplc="4ABEAD1E">
      <w:start w:val="1"/>
      <w:numFmt w:val="bullet"/>
      <w:lvlText w:val=""/>
      <w:lvlJc w:val="left"/>
      <w:pPr>
        <w:ind w:left="2160" w:hanging="360"/>
      </w:pPr>
      <w:rPr>
        <w:rFonts w:ascii="Wingdings" w:hAnsi="Wingdings" w:hint="default"/>
      </w:rPr>
    </w:lvl>
    <w:lvl w:ilvl="3" w:tplc="0958CF44">
      <w:start w:val="1"/>
      <w:numFmt w:val="bullet"/>
      <w:lvlText w:val=""/>
      <w:lvlJc w:val="left"/>
      <w:pPr>
        <w:ind w:left="2880" w:hanging="360"/>
      </w:pPr>
      <w:rPr>
        <w:rFonts w:ascii="Symbol" w:hAnsi="Symbol" w:hint="default"/>
      </w:rPr>
    </w:lvl>
    <w:lvl w:ilvl="4" w:tplc="22B4B932">
      <w:start w:val="1"/>
      <w:numFmt w:val="bullet"/>
      <w:lvlText w:val="o"/>
      <w:lvlJc w:val="left"/>
      <w:pPr>
        <w:ind w:left="3600" w:hanging="360"/>
      </w:pPr>
      <w:rPr>
        <w:rFonts w:ascii="Courier New" w:hAnsi="Courier New" w:hint="default"/>
      </w:rPr>
    </w:lvl>
    <w:lvl w:ilvl="5" w:tplc="69AA2EC6">
      <w:start w:val="1"/>
      <w:numFmt w:val="bullet"/>
      <w:lvlText w:val=""/>
      <w:lvlJc w:val="left"/>
      <w:pPr>
        <w:ind w:left="4320" w:hanging="360"/>
      </w:pPr>
      <w:rPr>
        <w:rFonts w:ascii="Wingdings" w:hAnsi="Wingdings" w:hint="default"/>
      </w:rPr>
    </w:lvl>
    <w:lvl w:ilvl="6" w:tplc="B36CEA42">
      <w:start w:val="1"/>
      <w:numFmt w:val="bullet"/>
      <w:lvlText w:val=""/>
      <w:lvlJc w:val="left"/>
      <w:pPr>
        <w:ind w:left="5040" w:hanging="360"/>
      </w:pPr>
      <w:rPr>
        <w:rFonts w:ascii="Symbol" w:hAnsi="Symbol" w:hint="default"/>
      </w:rPr>
    </w:lvl>
    <w:lvl w:ilvl="7" w:tplc="9DC4E952">
      <w:start w:val="1"/>
      <w:numFmt w:val="bullet"/>
      <w:lvlText w:val="o"/>
      <w:lvlJc w:val="left"/>
      <w:pPr>
        <w:ind w:left="5760" w:hanging="360"/>
      </w:pPr>
      <w:rPr>
        <w:rFonts w:ascii="Courier New" w:hAnsi="Courier New" w:hint="default"/>
      </w:rPr>
    </w:lvl>
    <w:lvl w:ilvl="8" w:tplc="908CB56E">
      <w:start w:val="1"/>
      <w:numFmt w:val="bullet"/>
      <w:lvlText w:val=""/>
      <w:lvlJc w:val="left"/>
      <w:pPr>
        <w:ind w:left="6480" w:hanging="360"/>
      </w:pPr>
      <w:rPr>
        <w:rFonts w:ascii="Wingdings" w:hAnsi="Wingdings" w:hint="default"/>
      </w:rPr>
    </w:lvl>
  </w:abstractNum>
  <w:abstractNum w:abstractNumId="13" w15:restartNumberingAfterBreak="0">
    <w:nsid w:val="31CF0F6B"/>
    <w:multiLevelType w:val="hybridMultilevel"/>
    <w:tmpl w:val="82B6FC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24D7459"/>
    <w:multiLevelType w:val="hybridMultilevel"/>
    <w:tmpl w:val="BA04C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144801"/>
    <w:multiLevelType w:val="hybridMultilevel"/>
    <w:tmpl w:val="108C13BA"/>
    <w:lvl w:ilvl="0" w:tplc="0C2EA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8069C"/>
    <w:multiLevelType w:val="hybridMultilevel"/>
    <w:tmpl w:val="8EF8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E399A"/>
    <w:multiLevelType w:val="multilevel"/>
    <w:tmpl w:val="29506764"/>
    <w:lvl w:ilvl="0">
      <w:start w:val="11"/>
      <w:numFmt w:val="decimal"/>
      <w:lvlText w:val="%1.0"/>
      <w:lvlJc w:val="left"/>
      <w:pPr>
        <w:ind w:left="82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49B7344C"/>
    <w:multiLevelType w:val="multilevel"/>
    <w:tmpl w:val="1DE2E50A"/>
    <w:lvl w:ilvl="0">
      <w:start w:val="1"/>
      <w:numFmt w:val="decimal"/>
      <w:lvlText w:val="%1."/>
      <w:lvlJc w:val="left"/>
      <w:pPr>
        <w:ind w:left="432" w:hanging="432"/>
      </w:pPr>
      <w:rPr>
        <w:rFonts w:ascii="Arial" w:hAnsi="Arial" w:hint="default"/>
        <w:b/>
        <w:i w:val="0"/>
        <w:color w:val="auto"/>
        <w:sz w:val="22"/>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BD452BC"/>
    <w:multiLevelType w:val="hybridMultilevel"/>
    <w:tmpl w:val="6F20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6074A"/>
    <w:multiLevelType w:val="hybridMultilevel"/>
    <w:tmpl w:val="CA4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06335"/>
    <w:multiLevelType w:val="multilevel"/>
    <w:tmpl w:val="1DE2E50A"/>
    <w:lvl w:ilvl="0">
      <w:start w:val="1"/>
      <w:numFmt w:val="decimal"/>
      <w:lvlText w:val="%1."/>
      <w:lvlJc w:val="left"/>
      <w:pPr>
        <w:ind w:left="432" w:hanging="432"/>
      </w:pPr>
      <w:rPr>
        <w:rFonts w:ascii="Arial" w:hAnsi="Arial" w:hint="default"/>
        <w:b/>
        <w:i w:val="0"/>
        <w:color w:val="auto"/>
        <w:sz w:val="22"/>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757B16"/>
    <w:multiLevelType w:val="multilevel"/>
    <w:tmpl w:val="B936CC92"/>
    <w:lvl w:ilvl="0">
      <w:start w:val="8"/>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6C2E7703"/>
    <w:multiLevelType w:val="multilevel"/>
    <w:tmpl w:val="1DE2E50A"/>
    <w:lvl w:ilvl="0">
      <w:start w:val="1"/>
      <w:numFmt w:val="decimal"/>
      <w:lvlText w:val="%1."/>
      <w:lvlJc w:val="left"/>
      <w:pPr>
        <w:ind w:left="432" w:hanging="432"/>
      </w:pPr>
      <w:rPr>
        <w:rFonts w:ascii="Arial" w:hAnsi="Arial" w:hint="default"/>
        <w:b/>
        <w:i w:val="0"/>
        <w:color w:val="auto"/>
        <w:sz w:val="22"/>
      </w:rPr>
    </w:lvl>
    <w:lvl w:ilvl="1">
      <w:start w:val="1"/>
      <w:numFmt w:val="decimal"/>
      <w:lvlText w:val="%1.%2"/>
      <w:lvlJc w:val="left"/>
      <w:pPr>
        <w:ind w:left="576" w:hanging="576"/>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C6C2F0A"/>
    <w:multiLevelType w:val="hybridMultilevel"/>
    <w:tmpl w:val="81AE6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435A07"/>
    <w:multiLevelType w:val="multilevel"/>
    <w:tmpl w:val="0686A14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F172582"/>
    <w:multiLevelType w:val="hybridMultilevel"/>
    <w:tmpl w:val="7AB61C14"/>
    <w:lvl w:ilvl="0" w:tplc="241EE00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82EFC"/>
    <w:multiLevelType w:val="hybridMultilevel"/>
    <w:tmpl w:val="5AE439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E5CBD"/>
    <w:multiLevelType w:val="multilevel"/>
    <w:tmpl w:val="049897B2"/>
    <w:lvl w:ilvl="0">
      <w:start w:val="10"/>
      <w:numFmt w:val="decimal"/>
      <w:lvlText w:val="%1.0"/>
      <w:lvlJc w:val="left"/>
      <w:pPr>
        <w:ind w:left="82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9" w15:restartNumberingAfterBreak="0">
    <w:nsid w:val="7AD7634F"/>
    <w:multiLevelType w:val="hybridMultilevel"/>
    <w:tmpl w:val="4B2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16043"/>
    <w:multiLevelType w:val="hybridMultilevel"/>
    <w:tmpl w:val="825A5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4525CC"/>
    <w:multiLevelType w:val="multilevel"/>
    <w:tmpl w:val="73F859A2"/>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7F5F367E"/>
    <w:multiLevelType w:val="multilevel"/>
    <w:tmpl w:val="96AE1A8A"/>
    <w:lvl w:ilvl="0">
      <w:start w:val="12"/>
      <w:numFmt w:val="decimal"/>
      <w:lvlText w:val="%1.0"/>
      <w:lvlJc w:val="left"/>
      <w:pPr>
        <w:ind w:left="82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16cid:durableId="1214586886">
    <w:abstractNumId w:val="24"/>
  </w:num>
  <w:num w:numId="2" w16cid:durableId="656425561">
    <w:abstractNumId w:val="8"/>
  </w:num>
  <w:num w:numId="3" w16cid:durableId="1166869965">
    <w:abstractNumId w:val="19"/>
  </w:num>
  <w:num w:numId="4" w16cid:durableId="924921077">
    <w:abstractNumId w:val="3"/>
  </w:num>
  <w:num w:numId="5" w16cid:durableId="202326867">
    <w:abstractNumId w:val="29"/>
  </w:num>
  <w:num w:numId="6" w16cid:durableId="157893240">
    <w:abstractNumId w:val="9"/>
  </w:num>
  <w:num w:numId="7" w16cid:durableId="525556479">
    <w:abstractNumId w:val="15"/>
  </w:num>
  <w:num w:numId="8" w16cid:durableId="997726823">
    <w:abstractNumId w:val="23"/>
  </w:num>
  <w:num w:numId="9" w16cid:durableId="401217509">
    <w:abstractNumId w:val="12"/>
  </w:num>
  <w:num w:numId="10" w16cid:durableId="1727298938">
    <w:abstractNumId w:val="26"/>
  </w:num>
  <w:num w:numId="11" w16cid:durableId="245771162">
    <w:abstractNumId w:val="16"/>
  </w:num>
  <w:num w:numId="12" w16cid:durableId="1530217422">
    <w:abstractNumId w:val="30"/>
  </w:num>
  <w:num w:numId="13" w16cid:durableId="1912275833">
    <w:abstractNumId w:val="13"/>
  </w:num>
  <w:num w:numId="14" w16cid:durableId="1735664845">
    <w:abstractNumId w:val="11"/>
  </w:num>
  <w:num w:numId="15" w16cid:durableId="156532025">
    <w:abstractNumId w:val="14"/>
  </w:num>
  <w:num w:numId="16" w16cid:durableId="704983676">
    <w:abstractNumId w:val="21"/>
  </w:num>
  <w:num w:numId="17" w16cid:durableId="1858273520">
    <w:abstractNumId w:val="7"/>
  </w:num>
  <w:num w:numId="18" w16cid:durableId="1539121678">
    <w:abstractNumId w:val="0"/>
  </w:num>
  <w:num w:numId="19" w16cid:durableId="49813275">
    <w:abstractNumId w:val="18"/>
  </w:num>
  <w:num w:numId="20" w16cid:durableId="34744193">
    <w:abstractNumId w:val="27"/>
  </w:num>
  <w:num w:numId="21" w16cid:durableId="1265650415">
    <w:abstractNumId w:val="20"/>
  </w:num>
  <w:num w:numId="22" w16cid:durableId="1622884742">
    <w:abstractNumId w:val="6"/>
  </w:num>
  <w:num w:numId="23" w16cid:durableId="1925450465">
    <w:abstractNumId w:val="4"/>
  </w:num>
  <w:num w:numId="24" w16cid:durableId="123163051">
    <w:abstractNumId w:val="5"/>
  </w:num>
  <w:num w:numId="25" w16cid:durableId="1691224100">
    <w:abstractNumId w:val="10"/>
  </w:num>
  <w:num w:numId="26" w16cid:durableId="1806581633">
    <w:abstractNumId w:val="25"/>
  </w:num>
  <w:num w:numId="27" w16cid:durableId="2145654627">
    <w:abstractNumId w:val="31"/>
  </w:num>
  <w:num w:numId="28" w16cid:durableId="1861120971">
    <w:abstractNumId w:val="2"/>
  </w:num>
  <w:num w:numId="29" w16cid:durableId="2035300568">
    <w:abstractNumId w:val="22"/>
  </w:num>
  <w:num w:numId="30" w16cid:durableId="1726637444">
    <w:abstractNumId w:val="1"/>
  </w:num>
  <w:num w:numId="31" w16cid:durableId="902788392">
    <w:abstractNumId w:val="28"/>
  </w:num>
  <w:num w:numId="32" w16cid:durableId="1220627324">
    <w:abstractNumId w:val="17"/>
  </w:num>
  <w:num w:numId="33" w16cid:durableId="4077736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3D"/>
    <w:rsid w:val="0001514B"/>
    <w:rsid w:val="00015699"/>
    <w:rsid w:val="00023AC2"/>
    <w:rsid w:val="00062F0A"/>
    <w:rsid w:val="00074A4B"/>
    <w:rsid w:val="00083F26"/>
    <w:rsid w:val="00085C27"/>
    <w:rsid w:val="00097768"/>
    <w:rsid w:val="000A00D2"/>
    <w:rsid w:val="000A1FC7"/>
    <w:rsid w:val="000A3E80"/>
    <w:rsid w:val="000B0F9A"/>
    <w:rsid w:val="000B17C2"/>
    <w:rsid w:val="000B408F"/>
    <w:rsid w:val="000B5BBD"/>
    <w:rsid w:val="000B5C57"/>
    <w:rsid w:val="000E3D60"/>
    <w:rsid w:val="000E53FB"/>
    <w:rsid w:val="000E7E2F"/>
    <w:rsid w:val="000F20A5"/>
    <w:rsid w:val="000F2CFB"/>
    <w:rsid w:val="000F3D87"/>
    <w:rsid w:val="000F7CD0"/>
    <w:rsid w:val="00101567"/>
    <w:rsid w:val="00110808"/>
    <w:rsid w:val="0011511B"/>
    <w:rsid w:val="00125131"/>
    <w:rsid w:val="0014351F"/>
    <w:rsid w:val="00143608"/>
    <w:rsid w:val="00153D09"/>
    <w:rsid w:val="00157806"/>
    <w:rsid w:val="00162989"/>
    <w:rsid w:val="00180DDC"/>
    <w:rsid w:val="00192F5F"/>
    <w:rsid w:val="0019705D"/>
    <w:rsid w:val="001A1E27"/>
    <w:rsid w:val="001B0C32"/>
    <w:rsid w:val="001B45B6"/>
    <w:rsid w:val="001B7135"/>
    <w:rsid w:val="001C0674"/>
    <w:rsid w:val="001C25F7"/>
    <w:rsid w:val="001C3715"/>
    <w:rsid w:val="001C3CEF"/>
    <w:rsid w:val="001C48EE"/>
    <w:rsid w:val="001C538A"/>
    <w:rsid w:val="001D7896"/>
    <w:rsid w:val="001D7D9F"/>
    <w:rsid w:val="001E0A87"/>
    <w:rsid w:val="001E2269"/>
    <w:rsid w:val="001F2CCA"/>
    <w:rsid w:val="001F339D"/>
    <w:rsid w:val="001F4BFF"/>
    <w:rsid w:val="002024BD"/>
    <w:rsid w:val="00202980"/>
    <w:rsid w:val="00205335"/>
    <w:rsid w:val="00205DAD"/>
    <w:rsid w:val="00210FC4"/>
    <w:rsid w:val="00215912"/>
    <w:rsid w:val="00216765"/>
    <w:rsid w:val="00220F15"/>
    <w:rsid w:val="00221BAF"/>
    <w:rsid w:val="00222227"/>
    <w:rsid w:val="002225E6"/>
    <w:rsid w:val="00237434"/>
    <w:rsid w:val="00244BEB"/>
    <w:rsid w:val="0025567D"/>
    <w:rsid w:val="00257149"/>
    <w:rsid w:val="002608A9"/>
    <w:rsid w:val="00262AEA"/>
    <w:rsid w:val="00262DA4"/>
    <w:rsid w:val="0027016E"/>
    <w:rsid w:val="002721F3"/>
    <w:rsid w:val="002834BF"/>
    <w:rsid w:val="0029496F"/>
    <w:rsid w:val="00297EBB"/>
    <w:rsid w:val="002A37A1"/>
    <w:rsid w:val="002A7DB1"/>
    <w:rsid w:val="002B184F"/>
    <w:rsid w:val="002B1D11"/>
    <w:rsid w:val="002B6EFB"/>
    <w:rsid w:val="002D69C2"/>
    <w:rsid w:val="002E6CCE"/>
    <w:rsid w:val="002E7D54"/>
    <w:rsid w:val="002F3540"/>
    <w:rsid w:val="002F44B0"/>
    <w:rsid w:val="00302917"/>
    <w:rsid w:val="00302AAF"/>
    <w:rsid w:val="00306513"/>
    <w:rsid w:val="003078D2"/>
    <w:rsid w:val="003127C8"/>
    <w:rsid w:val="00315698"/>
    <w:rsid w:val="00317E16"/>
    <w:rsid w:val="0032445C"/>
    <w:rsid w:val="00325B76"/>
    <w:rsid w:val="00334995"/>
    <w:rsid w:val="00360E04"/>
    <w:rsid w:val="00383441"/>
    <w:rsid w:val="003A6330"/>
    <w:rsid w:val="003A6B87"/>
    <w:rsid w:val="003B0942"/>
    <w:rsid w:val="003B0AB0"/>
    <w:rsid w:val="003B7053"/>
    <w:rsid w:val="003C2D25"/>
    <w:rsid w:val="003C641F"/>
    <w:rsid w:val="003D3D99"/>
    <w:rsid w:val="003E50E9"/>
    <w:rsid w:val="003F1B97"/>
    <w:rsid w:val="003F2369"/>
    <w:rsid w:val="0040108F"/>
    <w:rsid w:val="00402744"/>
    <w:rsid w:val="004054F6"/>
    <w:rsid w:val="00407C31"/>
    <w:rsid w:val="00411C84"/>
    <w:rsid w:val="00412EF2"/>
    <w:rsid w:val="0041619C"/>
    <w:rsid w:val="00420D63"/>
    <w:rsid w:val="004260B5"/>
    <w:rsid w:val="00426315"/>
    <w:rsid w:val="004305B4"/>
    <w:rsid w:val="0043689C"/>
    <w:rsid w:val="00443FD7"/>
    <w:rsid w:val="00463BA8"/>
    <w:rsid w:val="004672AB"/>
    <w:rsid w:val="00472EF7"/>
    <w:rsid w:val="00476043"/>
    <w:rsid w:val="00477601"/>
    <w:rsid w:val="004805B8"/>
    <w:rsid w:val="004829EC"/>
    <w:rsid w:val="00485C39"/>
    <w:rsid w:val="00496B62"/>
    <w:rsid w:val="004A70A2"/>
    <w:rsid w:val="004B100F"/>
    <w:rsid w:val="004C6BAD"/>
    <w:rsid w:val="004D1C08"/>
    <w:rsid w:val="004D39A0"/>
    <w:rsid w:val="004D4F6C"/>
    <w:rsid w:val="004D52A9"/>
    <w:rsid w:val="004D5751"/>
    <w:rsid w:val="004E1548"/>
    <w:rsid w:val="004E261E"/>
    <w:rsid w:val="004F1040"/>
    <w:rsid w:val="004F3CA6"/>
    <w:rsid w:val="004F4D31"/>
    <w:rsid w:val="00506252"/>
    <w:rsid w:val="00514408"/>
    <w:rsid w:val="00517944"/>
    <w:rsid w:val="00534E18"/>
    <w:rsid w:val="00543945"/>
    <w:rsid w:val="00543D7D"/>
    <w:rsid w:val="00550DF6"/>
    <w:rsid w:val="00574E6D"/>
    <w:rsid w:val="0057717A"/>
    <w:rsid w:val="0059168D"/>
    <w:rsid w:val="00591A02"/>
    <w:rsid w:val="00593F96"/>
    <w:rsid w:val="005B51AD"/>
    <w:rsid w:val="005B702B"/>
    <w:rsid w:val="005C1201"/>
    <w:rsid w:val="005C7B3E"/>
    <w:rsid w:val="005D17E7"/>
    <w:rsid w:val="005E0A9D"/>
    <w:rsid w:val="005F435E"/>
    <w:rsid w:val="005F7A8F"/>
    <w:rsid w:val="006124B1"/>
    <w:rsid w:val="0061352B"/>
    <w:rsid w:val="00614E11"/>
    <w:rsid w:val="00616E8D"/>
    <w:rsid w:val="006171EA"/>
    <w:rsid w:val="006251FA"/>
    <w:rsid w:val="006319E7"/>
    <w:rsid w:val="00633902"/>
    <w:rsid w:val="006413A7"/>
    <w:rsid w:val="006422A0"/>
    <w:rsid w:val="0064250E"/>
    <w:rsid w:val="006435DC"/>
    <w:rsid w:val="006508BC"/>
    <w:rsid w:val="00662E42"/>
    <w:rsid w:val="00667165"/>
    <w:rsid w:val="00672987"/>
    <w:rsid w:val="00672DCB"/>
    <w:rsid w:val="00684A4B"/>
    <w:rsid w:val="00686463"/>
    <w:rsid w:val="00686CA2"/>
    <w:rsid w:val="00694593"/>
    <w:rsid w:val="00697E57"/>
    <w:rsid w:val="006A139B"/>
    <w:rsid w:val="006A38A7"/>
    <w:rsid w:val="006A52FB"/>
    <w:rsid w:val="006A5897"/>
    <w:rsid w:val="006B7AFB"/>
    <w:rsid w:val="006C1334"/>
    <w:rsid w:val="006C46C0"/>
    <w:rsid w:val="006C65F9"/>
    <w:rsid w:val="006D0C31"/>
    <w:rsid w:val="006D4623"/>
    <w:rsid w:val="006E2191"/>
    <w:rsid w:val="006E4896"/>
    <w:rsid w:val="006F2751"/>
    <w:rsid w:val="006F33C8"/>
    <w:rsid w:val="00700395"/>
    <w:rsid w:val="00711E97"/>
    <w:rsid w:val="0071587D"/>
    <w:rsid w:val="0071629E"/>
    <w:rsid w:val="00720A95"/>
    <w:rsid w:val="007321D5"/>
    <w:rsid w:val="007350F0"/>
    <w:rsid w:val="007363A4"/>
    <w:rsid w:val="007568D1"/>
    <w:rsid w:val="00760CB3"/>
    <w:rsid w:val="00765083"/>
    <w:rsid w:val="007651BB"/>
    <w:rsid w:val="007751DF"/>
    <w:rsid w:val="00787F33"/>
    <w:rsid w:val="00793273"/>
    <w:rsid w:val="007A23EF"/>
    <w:rsid w:val="007A6AEB"/>
    <w:rsid w:val="007B26DC"/>
    <w:rsid w:val="007C2A1E"/>
    <w:rsid w:val="007C335F"/>
    <w:rsid w:val="007C49A7"/>
    <w:rsid w:val="007D070A"/>
    <w:rsid w:val="007E177E"/>
    <w:rsid w:val="007E7C8B"/>
    <w:rsid w:val="007F19DD"/>
    <w:rsid w:val="0081418C"/>
    <w:rsid w:val="00815D2E"/>
    <w:rsid w:val="00821017"/>
    <w:rsid w:val="008239DE"/>
    <w:rsid w:val="00836EC2"/>
    <w:rsid w:val="0084533C"/>
    <w:rsid w:val="00855342"/>
    <w:rsid w:val="00876820"/>
    <w:rsid w:val="008840B1"/>
    <w:rsid w:val="00896784"/>
    <w:rsid w:val="008B1658"/>
    <w:rsid w:val="008B1E37"/>
    <w:rsid w:val="008B25B6"/>
    <w:rsid w:val="008B44B0"/>
    <w:rsid w:val="008B537C"/>
    <w:rsid w:val="008B5418"/>
    <w:rsid w:val="008B5704"/>
    <w:rsid w:val="008C01D7"/>
    <w:rsid w:val="008C23FE"/>
    <w:rsid w:val="008D04C4"/>
    <w:rsid w:val="00900145"/>
    <w:rsid w:val="00901521"/>
    <w:rsid w:val="00901EF8"/>
    <w:rsid w:val="00906576"/>
    <w:rsid w:val="009172DE"/>
    <w:rsid w:val="00923C9C"/>
    <w:rsid w:val="00925148"/>
    <w:rsid w:val="00926F2D"/>
    <w:rsid w:val="009324A2"/>
    <w:rsid w:val="00935B77"/>
    <w:rsid w:val="0094078A"/>
    <w:rsid w:val="00950715"/>
    <w:rsid w:val="00954ECF"/>
    <w:rsid w:val="00955AF4"/>
    <w:rsid w:val="009676AB"/>
    <w:rsid w:val="00970E93"/>
    <w:rsid w:val="00981CD6"/>
    <w:rsid w:val="00981DB0"/>
    <w:rsid w:val="009848FE"/>
    <w:rsid w:val="00984EB5"/>
    <w:rsid w:val="0098630C"/>
    <w:rsid w:val="009C35F0"/>
    <w:rsid w:val="009D1024"/>
    <w:rsid w:val="009F1A18"/>
    <w:rsid w:val="009F4DF8"/>
    <w:rsid w:val="00A00FBC"/>
    <w:rsid w:val="00A03A83"/>
    <w:rsid w:val="00A0516E"/>
    <w:rsid w:val="00A0532F"/>
    <w:rsid w:val="00A056E2"/>
    <w:rsid w:val="00A11372"/>
    <w:rsid w:val="00A1743A"/>
    <w:rsid w:val="00A179F8"/>
    <w:rsid w:val="00A24E87"/>
    <w:rsid w:val="00A25866"/>
    <w:rsid w:val="00A261C5"/>
    <w:rsid w:val="00A2707A"/>
    <w:rsid w:val="00A36BCF"/>
    <w:rsid w:val="00A532EC"/>
    <w:rsid w:val="00A56AD0"/>
    <w:rsid w:val="00A60928"/>
    <w:rsid w:val="00A72EE0"/>
    <w:rsid w:val="00A93B14"/>
    <w:rsid w:val="00A9660A"/>
    <w:rsid w:val="00A97A93"/>
    <w:rsid w:val="00AA0E9B"/>
    <w:rsid w:val="00AB2E12"/>
    <w:rsid w:val="00AB715A"/>
    <w:rsid w:val="00AC4E47"/>
    <w:rsid w:val="00AC5058"/>
    <w:rsid w:val="00AC7BB9"/>
    <w:rsid w:val="00AD27B9"/>
    <w:rsid w:val="00AD3836"/>
    <w:rsid w:val="00AF0BEB"/>
    <w:rsid w:val="00AF64B7"/>
    <w:rsid w:val="00B175A5"/>
    <w:rsid w:val="00B208B8"/>
    <w:rsid w:val="00B20FAC"/>
    <w:rsid w:val="00B32D9E"/>
    <w:rsid w:val="00B35667"/>
    <w:rsid w:val="00B421D7"/>
    <w:rsid w:val="00B44039"/>
    <w:rsid w:val="00B448CC"/>
    <w:rsid w:val="00B61708"/>
    <w:rsid w:val="00B61D70"/>
    <w:rsid w:val="00B64414"/>
    <w:rsid w:val="00B67AFB"/>
    <w:rsid w:val="00BB40C4"/>
    <w:rsid w:val="00BC756A"/>
    <w:rsid w:val="00BD11C7"/>
    <w:rsid w:val="00BD3A0E"/>
    <w:rsid w:val="00BD44C4"/>
    <w:rsid w:val="00BD6929"/>
    <w:rsid w:val="00BD70A4"/>
    <w:rsid w:val="00BE2D6A"/>
    <w:rsid w:val="00BE3505"/>
    <w:rsid w:val="00BF105E"/>
    <w:rsid w:val="00BF485F"/>
    <w:rsid w:val="00C14CC5"/>
    <w:rsid w:val="00C15EBF"/>
    <w:rsid w:val="00C163FA"/>
    <w:rsid w:val="00C2081E"/>
    <w:rsid w:val="00C21097"/>
    <w:rsid w:val="00C21880"/>
    <w:rsid w:val="00C218AC"/>
    <w:rsid w:val="00C3043F"/>
    <w:rsid w:val="00C309BD"/>
    <w:rsid w:val="00C32283"/>
    <w:rsid w:val="00C513C4"/>
    <w:rsid w:val="00C52745"/>
    <w:rsid w:val="00C57546"/>
    <w:rsid w:val="00C663F9"/>
    <w:rsid w:val="00C73874"/>
    <w:rsid w:val="00C76F2B"/>
    <w:rsid w:val="00C87173"/>
    <w:rsid w:val="00C90285"/>
    <w:rsid w:val="00C90291"/>
    <w:rsid w:val="00C94FB6"/>
    <w:rsid w:val="00C95768"/>
    <w:rsid w:val="00CA4B55"/>
    <w:rsid w:val="00CB1DB0"/>
    <w:rsid w:val="00CB6911"/>
    <w:rsid w:val="00CC0B6F"/>
    <w:rsid w:val="00CC7DE2"/>
    <w:rsid w:val="00CE73C2"/>
    <w:rsid w:val="00CF417D"/>
    <w:rsid w:val="00CF626B"/>
    <w:rsid w:val="00CF7CB0"/>
    <w:rsid w:val="00D11C3A"/>
    <w:rsid w:val="00D157B7"/>
    <w:rsid w:val="00D17C2C"/>
    <w:rsid w:val="00D201CD"/>
    <w:rsid w:val="00D204AC"/>
    <w:rsid w:val="00D22E53"/>
    <w:rsid w:val="00D33B73"/>
    <w:rsid w:val="00D367FB"/>
    <w:rsid w:val="00D42FE2"/>
    <w:rsid w:val="00D57B27"/>
    <w:rsid w:val="00D6199A"/>
    <w:rsid w:val="00D65AE9"/>
    <w:rsid w:val="00D6605E"/>
    <w:rsid w:val="00D70928"/>
    <w:rsid w:val="00D73160"/>
    <w:rsid w:val="00D7700E"/>
    <w:rsid w:val="00D828AC"/>
    <w:rsid w:val="00D85DC2"/>
    <w:rsid w:val="00D947BE"/>
    <w:rsid w:val="00DA4E87"/>
    <w:rsid w:val="00DA5672"/>
    <w:rsid w:val="00DA7720"/>
    <w:rsid w:val="00DB3113"/>
    <w:rsid w:val="00DB6D81"/>
    <w:rsid w:val="00DC46F0"/>
    <w:rsid w:val="00DD4D64"/>
    <w:rsid w:val="00DD5544"/>
    <w:rsid w:val="00DE2386"/>
    <w:rsid w:val="00E114A3"/>
    <w:rsid w:val="00E22703"/>
    <w:rsid w:val="00E278C9"/>
    <w:rsid w:val="00E317B2"/>
    <w:rsid w:val="00E33C23"/>
    <w:rsid w:val="00E342DB"/>
    <w:rsid w:val="00E41802"/>
    <w:rsid w:val="00E42534"/>
    <w:rsid w:val="00E43E4D"/>
    <w:rsid w:val="00E46E3A"/>
    <w:rsid w:val="00E54F3F"/>
    <w:rsid w:val="00E7107C"/>
    <w:rsid w:val="00E72B4E"/>
    <w:rsid w:val="00E72EDE"/>
    <w:rsid w:val="00E73709"/>
    <w:rsid w:val="00E748A2"/>
    <w:rsid w:val="00E773CB"/>
    <w:rsid w:val="00E901E9"/>
    <w:rsid w:val="00E951F6"/>
    <w:rsid w:val="00EA0640"/>
    <w:rsid w:val="00EA268F"/>
    <w:rsid w:val="00EA2E99"/>
    <w:rsid w:val="00EA4EEF"/>
    <w:rsid w:val="00EB783D"/>
    <w:rsid w:val="00ED62E7"/>
    <w:rsid w:val="00EF4983"/>
    <w:rsid w:val="00EF7A91"/>
    <w:rsid w:val="00F0666E"/>
    <w:rsid w:val="00F0732D"/>
    <w:rsid w:val="00F11937"/>
    <w:rsid w:val="00F15D9C"/>
    <w:rsid w:val="00F178E5"/>
    <w:rsid w:val="00F27450"/>
    <w:rsid w:val="00F33670"/>
    <w:rsid w:val="00F46AE1"/>
    <w:rsid w:val="00F6229A"/>
    <w:rsid w:val="00F641EA"/>
    <w:rsid w:val="00F648AF"/>
    <w:rsid w:val="00F72157"/>
    <w:rsid w:val="00F76255"/>
    <w:rsid w:val="00F77D5B"/>
    <w:rsid w:val="00F8498D"/>
    <w:rsid w:val="00F97FC6"/>
    <w:rsid w:val="00FA2003"/>
    <w:rsid w:val="00FA345C"/>
    <w:rsid w:val="00FA5CAE"/>
    <w:rsid w:val="00FA66B1"/>
    <w:rsid w:val="00FB5E84"/>
    <w:rsid w:val="00FC555C"/>
    <w:rsid w:val="00FC7820"/>
    <w:rsid w:val="00FC7E35"/>
    <w:rsid w:val="00FD4002"/>
    <w:rsid w:val="00FD6BA5"/>
    <w:rsid w:val="00FF37BC"/>
    <w:rsid w:val="00FF494E"/>
    <w:rsid w:val="00FF4BA3"/>
    <w:rsid w:val="5A6CB976"/>
    <w:rsid w:val="738FC5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9C63"/>
  <w15:docId w15:val="{107AE9EC-63DD-4E60-B63F-E475A5EC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3D"/>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83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83D"/>
    <w:pPr>
      <w:tabs>
        <w:tab w:val="center" w:pos="4513"/>
        <w:tab w:val="right" w:pos="9026"/>
      </w:tabs>
    </w:pPr>
  </w:style>
  <w:style w:type="character" w:customStyle="1" w:styleId="HeaderChar">
    <w:name w:val="Header Char"/>
    <w:basedOn w:val="DefaultParagraphFont"/>
    <w:link w:val="Header"/>
    <w:uiPriority w:val="99"/>
    <w:rsid w:val="00EB783D"/>
    <w:rPr>
      <w:rFonts w:ascii="Arial" w:eastAsiaTheme="minorEastAsia" w:hAnsi="Arial"/>
      <w:sz w:val="24"/>
      <w:szCs w:val="24"/>
    </w:rPr>
  </w:style>
  <w:style w:type="paragraph" w:styleId="Footer">
    <w:name w:val="footer"/>
    <w:basedOn w:val="Normal"/>
    <w:link w:val="FooterChar"/>
    <w:uiPriority w:val="99"/>
    <w:unhideWhenUsed/>
    <w:rsid w:val="00EB783D"/>
    <w:pPr>
      <w:tabs>
        <w:tab w:val="center" w:pos="4513"/>
        <w:tab w:val="right" w:pos="9026"/>
      </w:tabs>
    </w:pPr>
  </w:style>
  <w:style w:type="character" w:customStyle="1" w:styleId="FooterChar">
    <w:name w:val="Footer Char"/>
    <w:basedOn w:val="DefaultParagraphFont"/>
    <w:link w:val="Footer"/>
    <w:uiPriority w:val="99"/>
    <w:rsid w:val="00EB783D"/>
    <w:rPr>
      <w:rFonts w:ascii="Arial" w:eastAsiaTheme="minorEastAsia" w:hAnsi="Arial"/>
      <w:sz w:val="24"/>
      <w:szCs w:val="24"/>
    </w:rPr>
  </w:style>
  <w:style w:type="paragraph" w:styleId="BalloonText">
    <w:name w:val="Balloon Text"/>
    <w:basedOn w:val="Normal"/>
    <w:link w:val="BalloonTextChar"/>
    <w:uiPriority w:val="99"/>
    <w:semiHidden/>
    <w:unhideWhenUsed/>
    <w:rsid w:val="00EB783D"/>
    <w:rPr>
      <w:rFonts w:ascii="Tahoma" w:hAnsi="Tahoma" w:cs="Tahoma"/>
      <w:sz w:val="16"/>
      <w:szCs w:val="16"/>
    </w:rPr>
  </w:style>
  <w:style w:type="character" w:customStyle="1" w:styleId="BalloonTextChar">
    <w:name w:val="Balloon Text Char"/>
    <w:basedOn w:val="DefaultParagraphFont"/>
    <w:link w:val="BalloonText"/>
    <w:uiPriority w:val="99"/>
    <w:semiHidden/>
    <w:rsid w:val="00EB783D"/>
    <w:rPr>
      <w:rFonts w:ascii="Tahoma" w:eastAsiaTheme="minorEastAsia" w:hAnsi="Tahoma" w:cs="Tahoma"/>
      <w:sz w:val="16"/>
      <w:szCs w:val="16"/>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1"/>
    <w:qFormat/>
    <w:rsid w:val="004054F6"/>
    <w:pPr>
      <w:ind w:left="720"/>
      <w:contextualSpacing/>
    </w:pPr>
  </w:style>
  <w:style w:type="paragraph" w:styleId="Caption">
    <w:name w:val="caption"/>
    <w:basedOn w:val="Normal"/>
    <w:next w:val="Normal"/>
    <w:qFormat/>
    <w:rsid w:val="00AD27B9"/>
    <w:rPr>
      <w:rFonts w:ascii="Courier New" w:eastAsia="Times New Roman" w:hAnsi="Courier New" w:cs="Arial"/>
      <w:szCs w:val="20"/>
    </w:rPr>
  </w:style>
  <w:style w:type="paragraph" w:customStyle="1" w:styleId="Default">
    <w:name w:val="Default"/>
    <w:rsid w:val="00AD27B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1"/>
    <w:rsid w:val="00AD27B9"/>
    <w:rPr>
      <w:rFonts w:ascii="Arial" w:eastAsiaTheme="minorEastAsia" w:hAnsi="Arial"/>
      <w:sz w:val="24"/>
      <w:szCs w:val="24"/>
    </w:rPr>
  </w:style>
  <w:style w:type="character" w:styleId="PageNumber">
    <w:name w:val="page number"/>
    <w:basedOn w:val="DefaultParagraphFont"/>
    <w:rsid w:val="006C1334"/>
  </w:style>
  <w:style w:type="character" w:styleId="Hyperlink">
    <w:name w:val="Hyperlink"/>
    <w:rsid w:val="000E3D60"/>
    <w:rPr>
      <w:color w:val="0000FF"/>
      <w:u w:val="single"/>
    </w:rPr>
  </w:style>
  <w:style w:type="character" w:styleId="Strong">
    <w:name w:val="Strong"/>
    <w:uiPriority w:val="22"/>
    <w:qFormat/>
    <w:rsid w:val="000E3D60"/>
    <w:rPr>
      <w:b/>
      <w:bCs/>
    </w:rPr>
  </w:style>
  <w:style w:type="table" w:customStyle="1" w:styleId="TableGrid0">
    <w:name w:val="TableGrid"/>
    <w:rsid w:val="00954ECF"/>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24E87"/>
    <w:rPr>
      <w:sz w:val="16"/>
      <w:szCs w:val="16"/>
    </w:rPr>
  </w:style>
  <w:style w:type="paragraph" w:styleId="CommentText">
    <w:name w:val="annotation text"/>
    <w:basedOn w:val="Normal"/>
    <w:link w:val="CommentTextChar"/>
    <w:uiPriority w:val="99"/>
    <w:unhideWhenUsed/>
    <w:rsid w:val="00A24E87"/>
    <w:pPr>
      <w:spacing w:after="7"/>
      <w:ind w:left="370" w:hanging="370"/>
    </w:pPr>
    <w:rPr>
      <w:rFonts w:eastAsia="Arial" w:cs="Arial"/>
      <w:color w:val="000000"/>
      <w:sz w:val="20"/>
      <w:szCs w:val="20"/>
      <w:lang w:eastAsia="en-GB"/>
    </w:rPr>
  </w:style>
  <w:style w:type="character" w:customStyle="1" w:styleId="CommentTextChar">
    <w:name w:val="Comment Text Char"/>
    <w:basedOn w:val="DefaultParagraphFont"/>
    <w:link w:val="CommentText"/>
    <w:uiPriority w:val="99"/>
    <w:rsid w:val="00A24E87"/>
    <w:rPr>
      <w:rFonts w:ascii="Arial" w:eastAsia="Arial" w:hAnsi="Arial" w:cs="Arial"/>
      <w:color w:val="000000"/>
      <w:sz w:val="20"/>
      <w:szCs w:val="20"/>
      <w:lang w:eastAsia="en-GB"/>
    </w:rPr>
  </w:style>
  <w:style w:type="paragraph" w:styleId="FootnoteText">
    <w:name w:val="footnote text"/>
    <w:basedOn w:val="Normal"/>
    <w:link w:val="FootnoteTextChar"/>
    <w:uiPriority w:val="99"/>
    <w:unhideWhenUsed/>
    <w:rsid w:val="00A24E87"/>
    <w:rPr>
      <w:rFonts w:eastAsia="Calibri" w:cs="Arial"/>
      <w:sz w:val="20"/>
      <w:szCs w:val="20"/>
    </w:rPr>
  </w:style>
  <w:style w:type="character" w:customStyle="1" w:styleId="FootnoteTextChar">
    <w:name w:val="Footnote Text Char"/>
    <w:basedOn w:val="DefaultParagraphFont"/>
    <w:link w:val="FootnoteText"/>
    <w:uiPriority w:val="99"/>
    <w:rsid w:val="00A24E87"/>
    <w:rPr>
      <w:rFonts w:ascii="Arial" w:eastAsia="Calibri" w:hAnsi="Arial" w:cs="Arial"/>
      <w:sz w:val="20"/>
      <w:szCs w:val="20"/>
    </w:rPr>
  </w:style>
  <w:style w:type="character" w:styleId="FootnoteReference">
    <w:name w:val="footnote reference"/>
    <w:uiPriority w:val="99"/>
    <w:unhideWhenUsed/>
    <w:rsid w:val="00A24E87"/>
    <w:rPr>
      <w:vertAlign w:val="superscript"/>
    </w:rPr>
  </w:style>
  <w:style w:type="table" w:customStyle="1" w:styleId="TableGrid1">
    <w:name w:val="Table Grid1"/>
    <w:rsid w:val="00A24E87"/>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0">
    <w:name w:val="Table Grid0"/>
    <w:basedOn w:val="TableNormal"/>
    <w:uiPriority w:val="59"/>
    <w:rsid w:val="00A24E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208B8"/>
    <w:rPr>
      <w:color w:val="605E5C"/>
      <w:shd w:val="clear" w:color="auto" w:fill="E1DFDD"/>
    </w:rPr>
  </w:style>
  <w:style w:type="character" w:styleId="Mention">
    <w:name w:val="Mention"/>
    <w:basedOn w:val="DefaultParagraphFont"/>
    <w:uiPriority w:val="99"/>
    <w:unhideWhenUsed/>
    <w:rsid w:val="00B208B8"/>
    <w:rPr>
      <w:color w:val="2B579A"/>
      <w:shd w:val="clear" w:color="auto" w:fill="E1DFDD"/>
    </w:rPr>
  </w:style>
  <w:style w:type="paragraph" w:customStyle="1" w:styleId="TableParagraph">
    <w:name w:val="Table Paragraph"/>
    <w:basedOn w:val="Normal"/>
    <w:uiPriority w:val="1"/>
    <w:qFormat/>
    <w:rsid w:val="007F19DD"/>
    <w:pPr>
      <w:widowControl w:val="0"/>
      <w:spacing w:before="70" w:after="160" w:line="279" w:lineRule="auto"/>
      <w:ind w:left="107"/>
    </w:pPr>
    <w:rPr>
      <w:rFonts w:eastAsia="Arial" w:cs="Arial"/>
      <w:lang w:val="en-US" w:eastAsia="ja-JP"/>
    </w:rPr>
  </w:style>
  <w:style w:type="paragraph" w:customStyle="1" w:styleId="paragraph">
    <w:name w:val="paragraph"/>
    <w:basedOn w:val="Normal"/>
    <w:rsid w:val="007F19D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F19DD"/>
  </w:style>
  <w:style w:type="character" w:customStyle="1" w:styleId="eop">
    <w:name w:val="eop"/>
    <w:basedOn w:val="DefaultParagraphFont"/>
    <w:rsid w:val="007F19DD"/>
  </w:style>
  <w:style w:type="table" w:customStyle="1" w:styleId="TableGrid2">
    <w:name w:val="Table Grid2"/>
    <w:basedOn w:val="TableNormal"/>
    <w:next w:val="TableGrid"/>
    <w:uiPriority w:val="59"/>
    <w:rsid w:val="00ED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84384">
      <w:bodyDiv w:val="1"/>
      <w:marLeft w:val="0"/>
      <w:marRight w:val="0"/>
      <w:marTop w:val="0"/>
      <w:marBottom w:val="0"/>
      <w:divBdr>
        <w:top w:val="none" w:sz="0" w:space="0" w:color="auto"/>
        <w:left w:val="none" w:sz="0" w:space="0" w:color="auto"/>
        <w:bottom w:val="none" w:sz="0" w:space="0" w:color="auto"/>
        <w:right w:val="none" w:sz="0" w:space="0" w:color="auto"/>
      </w:divBdr>
      <w:divsChild>
        <w:div w:id="953826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2BC94EB3ACB4B89606D88DAA1F660" ma:contentTypeVersion="18" ma:contentTypeDescription="Create a new document." ma:contentTypeScope="" ma:versionID="ef2d2074bbc7b14f8e617155ff00a944">
  <xsd:schema xmlns:xsd="http://www.w3.org/2001/XMLSchema" xmlns:xs="http://www.w3.org/2001/XMLSchema" xmlns:p="http://schemas.microsoft.com/office/2006/metadata/properties" xmlns:ns2="d5e92995-d6ba-45a5-af2f-b58dd86f0283" xmlns:ns3="dd752d78-f50d-4de8-9a2f-32d6f7835224" targetNamespace="http://schemas.microsoft.com/office/2006/metadata/properties" ma:root="true" ma:fieldsID="4e7023f8205921825ba22bf67506b03b" ns2:_="" ns3:_="">
    <xsd:import namespace="d5e92995-d6ba-45a5-af2f-b58dd86f0283"/>
    <xsd:import namespace="dd752d78-f50d-4de8-9a2f-32d6f7835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92995-d6ba-45a5-af2f-b58dd86f0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752d78-f50d-4de8-9a2f-32d6f78352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ad3cb-6b5b-4c3c-9edd-405dbb0fed13}" ma:internalName="TaxCatchAll" ma:showField="CatchAllData" ma:web="dd752d78-f50d-4de8-9a2f-32d6f7835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e92995-d6ba-45a5-af2f-b58dd86f0283">
      <Terms xmlns="http://schemas.microsoft.com/office/infopath/2007/PartnerControls"/>
    </lcf76f155ced4ddcb4097134ff3c332f>
    <TaxCatchAll xmlns="dd752d78-f50d-4de8-9a2f-32d6f78352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3A17-4AA5-4036-BECB-1623033E3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92995-d6ba-45a5-af2f-b58dd86f0283"/>
    <ds:schemaRef ds:uri="dd752d78-f50d-4de8-9a2f-32d6f783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AC634-6761-4AB9-BC03-925305A2E1F4}">
  <ds:schemaRefs>
    <ds:schemaRef ds:uri="http://schemas.microsoft.com/office/2006/metadata/properties"/>
    <ds:schemaRef ds:uri="http://schemas.microsoft.com/office/infopath/2007/PartnerControls"/>
    <ds:schemaRef ds:uri="d5e92995-d6ba-45a5-af2f-b58dd86f0283"/>
    <ds:schemaRef ds:uri="dd752d78-f50d-4de8-9a2f-32d6f7835224"/>
  </ds:schemaRefs>
</ds:datastoreItem>
</file>

<file path=customXml/itemProps3.xml><?xml version="1.0" encoding="utf-8"?>
<ds:datastoreItem xmlns:ds="http://schemas.openxmlformats.org/officeDocument/2006/customXml" ds:itemID="{E2C705F2-A72B-40B1-91A7-95080F9E5C9D}">
  <ds:schemaRefs>
    <ds:schemaRef ds:uri="http://schemas.microsoft.com/sharepoint/v3/contenttype/forms"/>
  </ds:schemaRefs>
</ds:datastoreItem>
</file>

<file path=customXml/itemProps4.xml><?xml version="1.0" encoding="utf-8"?>
<ds:datastoreItem xmlns:ds="http://schemas.openxmlformats.org/officeDocument/2006/customXml" ds:itemID="{05D28763-4265-4D65-9626-E4982D42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Thames Valley University</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profadmi</dc:creator>
  <cp:keywords/>
  <dc:description/>
  <cp:lastModifiedBy>Thom Dent</cp:lastModifiedBy>
  <cp:revision>5</cp:revision>
  <cp:lastPrinted>2024-06-03T09:19:00Z</cp:lastPrinted>
  <dcterms:created xsi:type="dcterms:W3CDTF">2024-06-27T20:26:00Z</dcterms:created>
  <dcterms:modified xsi:type="dcterms:W3CDTF">2024-08-15T13:55:00Z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0x0101002222BC94EB3ACB4B89606D88DAA1F660</vt:lpwstr>
  </property>
  <property fmtid="{D5CDD505-2E9C-101B-9397-08002B2CF9AE}" pid="3" name="MediaServiceImageTags">
    <vt:lpwstr/>
  </property>
</Properties>
</file>